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C984" w14:textId="77777777" w:rsidR="002F321C" w:rsidRPr="00296E29" w:rsidRDefault="00871BA1" w:rsidP="00924EE7">
      <w:pPr>
        <w:pStyle w:val="Documenttitlemidblue"/>
      </w:pPr>
      <w:r>
        <w:t>When to consult the Environment Agency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2601"/>
      </w:tblGrid>
      <w:tr w:rsidR="000E2786" w:rsidRPr="006811E7" w14:paraId="20C2ACEE" w14:textId="77777777" w:rsidTr="00E80C41">
        <w:trPr>
          <w:trHeight w:hRule="exact" w:val="567"/>
        </w:trPr>
        <w:tc>
          <w:tcPr>
            <w:tcW w:w="7824" w:type="dxa"/>
            <w:vAlign w:val="center"/>
          </w:tcPr>
          <w:p w14:paraId="4F949D6D" w14:textId="77777777" w:rsidR="000E2786" w:rsidRPr="006811E7" w:rsidRDefault="00C15423" w:rsidP="00924EE7">
            <w:pPr>
              <w:pStyle w:val="DocumentDescription"/>
            </w:pPr>
            <w:r>
              <w:t>On Planning applications</w:t>
            </w:r>
          </w:p>
        </w:tc>
        <w:tc>
          <w:tcPr>
            <w:tcW w:w="2601" w:type="dxa"/>
            <w:vAlign w:val="center"/>
          </w:tcPr>
          <w:p w14:paraId="13683B96" w14:textId="77777777" w:rsidR="000E2786" w:rsidRPr="006811E7" w:rsidRDefault="00C15423" w:rsidP="00EB3BDF">
            <w:pPr>
              <w:pStyle w:val="Dateorreference"/>
            </w:pPr>
            <w:r>
              <w:rPr>
                <w:rFonts w:eastAsiaTheme="minorHAnsi"/>
              </w:rPr>
              <w:t>April 2021</w:t>
            </w:r>
          </w:p>
        </w:tc>
      </w:tr>
    </w:tbl>
    <w:p w14:paraId="6770EC38" w14:textId="77777777" w:rsidR="00871BA1" w:rsidRDefault="00871BA1" w:rsidP="00871BA1"/>
    <w:p w14:paraId="7222FE4D" w14:textId="77777777" w:rsidR="00C15423" w:rsidRDefault="00C15423" w:rsidP="00871BA1">
      <w:r>
        <w:t xml:space="preserve">This form should be </w:t>
      </w:r>
      <w:r w:rsidR="00854800">
        <w:t xml:space="preserve">attached to your planning consultation and </w:t>
      </w:r>
      <w:r>
        <w:t>used to explain why you have consulted us</w:t>
      </w:r>
      <w:r w:rsidR="00854800">
        <w:t xml:space="preserve">. </w:t>
      </w:r>
      <w:r>
        <w:t>We will only respond to consultations that fall into one or more of the categories below.</w:t>
      </w:r>
      <w:r w:rsidR="00D15F8E">
        <w:t xml:space="preserve"> </w:t>
      </w:r>
    </w:p>
    <w:p w14:paraId="4382C7A2" w14:textId="77777777" w:rsidR="00B44C3A" w:rsidRDefault="00B44C3A" w:rsidP="00871BA1"/>
    <w:p w14:paraId="0B316ED7" w14:textId="77777777" w:rsidR="00B44C3A" w:rsidRDefault="00B44C3A" w:rsidP="00871BA1">
      <w:r>
        <w:t xml:space="preserve">Flood zones and source protection zones can be downloaded at </w:t>
      </w:r>
      <w:hyperlink r:id="rId8" w:history="1">
        <w:r w:rsidRPr="00597E22">
          <w:rPr>
            <w:rStyle w:val="Hyperlink"/>
          </w:rPr>
          <w:t>https://data.gov.uk/</w:t>
        </w:r>
      </w:hyperlink>
      <w:r>
        <w:t xml:space="preserve">. </w:t>
      </w:r>
    </w:p>
    <w:p w14:paraId="0275F18C" w14:textId="77777777" w:rsidR="00854800" w:rsidRDefault="00854800" w:rsidP="00871B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5"/>
        <w:gridCol w:w="6561"/>
        <w:gridCol w:w="1489"/>
      </w:tblGrid>
      <w:tr w:rsidR="00C15423" w14:paraId="0CB9E83C" w14:textId="77777777" w:rsidTr="0015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01C02742" w14:textId="77777777" w:rsidR="00C15423" w:rsidRDefault="00C15423" w:rsidP="00871BA1">
            <w:pPr>
              <w:pStyle w:val="Maintextblack"/>
            </w:pPr>
            <w:r>
              <w:t>Category</w:t>
            </w:r>
          </w:p>
        </w:tc>
        <w:tc>
          <w:tcPr>
            <w:tcW w:w="3150" w:type="pct"/>
          </w:tcPr>
          <w:p w14:paraId="43AEC693" w14:textId="77777777" w:rsidR="00C15423" w:rsidRDefault="00C15423" w:rsidP="00871BA1">
            <w:pPr>
              <w:pStyle w:val="Maintextblac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715" w:type="pct"/>
          </w:tcPr>
          <w:p w14:paraId="2304DDB3" w14:textId="77777777" w:rsidR="00C15423" w:rsidRDefault="00C15423" w:rsidP="00871BA1">
            <w:pPr>
              <w:pStyle w:val="Maintextblac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consulting</w:t>
            </w:r>
          </w:p>
        </w:tc>
      </w:tr>
      <w:tr w:rsidR="00C15423" w14:paraId="1A793DEF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530EEEDB" w14:textId="77777777" w:rsidR="00C15423" w:rsidRDefault="00C15423" w:rsidP="001E2608">
            <w:r>
              <w:t>Cemeteries</w:t>
            </w:r>
          </w:p>
        </w:tc>
        <w:tc>
          <w:tcPr>
            <w:tcW w:w="3150" w:type="pct"/>
          </w:tcPr>
          <w:p w14:paraId="7EEE3613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 relating to using land as a cemetery, including extensions</w:t>
            </w:r>
            <w:r>
              <w:t>.</w:t>
            </w:r>
          </w:p>
        </w:tc>
        <w:tc>
          <w:tcPr>
            <w:tcW w:w="715" w:type="pct"/>
          </w:tcPr>
          <w:p w14:paraId="139D7409" w14:textId="77777777" w:rsidR="00C15423" w:rsidRPr="00955287" w:rsidRDefault="00520B01" w:rsidP="00520B01">
            <w:pPr>
              <w:pStyle w:val="NormalWeb"/>
              <w:tabs>
                <w:tab w:val="center" w:pos="95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248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  <w:tr w:rsidR="00C15423" w14:paraId="6DD60493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3849CA4C" w14:textId="77777777" w:rsidR="00C15423" w:rsidRDefault="00C15423" w:rsidP="00505C1C">
            <w:r w:rsidRPr="00955287">
              <w:t>Environmental Impact Assessment (EIA)</w:t>
            </w:r>
          </w:p>
        </w:tc>
        <w:tc>
          <w:tcPr>
            <w:tcW w:w="3150" w:type="pct"/>
          </w:tcPr>
          <w:p w14:paraId="01E2A299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requiring an EIA, including scoping opinions and the environmental statement.</w:t>
            </w:r>
          </w:p>
        </w:tc>
        <w:tc>
          <w:tcPr>
            <w:tcW w:w="715" w:type="pct"/>
          </w:tcPr>
          <w:p w14:paraId="6E848B04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19211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5BFCB418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467A705E" w14:textId="77777777" w:rsidR="00C15423" w:rsidRPr="00955287" w:rsidRDefault="00C15423" w:rsidP="00505C1C">
            <w:r>
              <w:t>Flood risk</w:t>
            </w:r>
          </w:p>
          <w:p w14:paraId="62358E74" w14:textId="77777777" w:rsidR="00C15423" w:rsidRDefault="00C15423" w:rsidP="00505C1C"/>
        </w:tc>
        <w:tc>
          <w:tcPr>
            <w:tcW w:w="3150" w:type="pct"/>
          </w:tcPr>
          <w:p w14:paraId="3BA6DCD8" w14:textId="77777777" w:rsidR="00C15423" w:rsidRPr="00955287" w:rsidRDefault="00C15423" w:rsidP="00C15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Development, other than </w:t>
            </w:r>
            <w:hyperlink r:id="rId9" w:history="1">
              <w:r w:rsidRPr="002A244F">
                <w:rPr>
                  <w:rStyle w:val="Hyperlink"/>
                </w:rPr>
                <w:t>minor development</w:t>
              </w:r>
            </w:hyperlink>
            <w:r w:rsidRPr="005660AE">
              <w:rPr>
                <w:rStyle w:val="Superscript"/>
              </w:rPr>
              <w:t xml:space="preserve"> </w:t>
            </w:r>
            <w:r w:rsidRPr="00955287">
              <w:t xml:space="preserve">or as defined in our </w:t>
            </w:r>
            <w:hyperlink r:id="rId10" w:history="1">
              <w:r w:rsidRPr="00517CC7">
                <w:rPr>
                  <w:rStyle w:val="Hyperlink"/>
                </w:rPr>
                <w:t>FRSA</w:t>
              </w:r>
            </w:hyperlink>
            <w:r>
              <w:t xml:space="preserve">, which is carried out on land within </w:t>
            </w:r>
            <w:hyperlink r:id="rId11" w:history="1">
              <w:r w:rsidRPr="002A244F">
                <w:rPr>
                  <w:rStyle w:val="Hyperlink"/>
                </w:rPr>
                <w:t>Flood Zone</w:t>
              </w:r>
            </w:hyperlink>
            <w:r>
              <w:t xml:space="preserve"> 2</w:t>
            </w:r>
            <w:r w:rsidRPr="002A3673">
              <w:rPr>
                <w:rStyle w:val="Superscript"/>
              </w:rPr>
              <w:t xml:space="preserve"> </w:t>
            </w:r>
            <w:r w:rsidRPr="00955287">
              <w:t>or 3</w:t>
            </w:r>
          </w:p>
        </w:tc>
        <w:tc>
          <w:tcPr>
            <w:tcW w:w="715" w:type="pct"/>
          </w:tcPr>
          <w:p w14:paraId="0B73291B" w14:textId="0D21682B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2000000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C15423" w14:paraId="5BE1503A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0895DAE8" w14:textId="77777777" w:rsidR="00C15423" w:rsidRDefault="00C15423" w:rsidP="00505C1C">
            <w:r>
              <w:t>Groundwater protection</w:t>
            </w:r>
            <w:r w:rsidRPr="00955287">
              <w:t xml:space="preserve"> </w:t>
            </w:r>
          </w:p>
        </w:tc>
        <w:tc>
          <w:tcPr>
            <w:tcW w:w="3150" w:type="pct"/>
          </w:tcPr>
          <w:p w14:paraId="77FBB61E" w14:textId="77777777" w:rsidR="00C15423" w:rsidRPr="00955287" w:rsidRDefault="00C15423" w:rsidP="00B44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 xml:space="preserve">Potentially contaminating development </w:t>
            </w:r>
            <w:r w:rsidR="00D15F8E">
              <w:t xml:space="preserve">(including the storage of </w:t>
            </w:r>
            <w:r w:rsidR="00D15F8E" w:rsidRPr="00D15F8E">
              <w:t>potentially contaminating substances</w:t>
            </w:r>
            <w:r w:rsidR="00D15F8E">
              <w:t>)</w:t>
            </w:r>
            <w:r w:rsidR="00D15F8E" w:rsidRPr="00D15F8E">
              <w:t xml:space="preserve"> </w:t>
            </w:r>
            <w:r w:rsidRPr="00955287">
              <w:t>loc</w:t>
            </w:r>
            <w:r w:rsidR="00D15F8E">
              <w:t>ated in Source Protection Zones</w:t>
            </w:r>
            <w:r w:rsidR="00B44C3A">
              <w:t xml:space="preserve"> </w:t>
            </w:r>
            <w:r w:rsidR="001C5E4F">
              <w:t>(</w:t>
            </w:r>
            <w:r w:rsidR="001C5E4F" w:rsidRPr="001C5E4F">
              <w:rPr>
                <w:rStyle w:val="Boldtextblue"/>
              </w:rPr>
              <w:t>see list</w:t>
            </w:r>
            <w:r w:rsidR="001C5E4F" w:rsidRPr="001C5E4F">
              <w:t>)</w:t>
            </w:r>
          </w:p>
        </w:tc>
        <w:tc>
          <w:tcPr>
            <w:tcW w:w="715" w:type="pct"/>
          </w:tcPr>
          <w:p w14:paraId="0E8693D0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167D106D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6DCFADB7" w14:textId="77777777" w:rsidR="00C15423" w:rsidRPr="00955287" w:rsidRDefault="00C15423" w:rsidP="00505C1C">
            <w:r w:rsidRPr="00955287">
              <w:t>Hazardous waste/Control of Major Accident Hazard Regulatio</w:t>
            </w:r>
            <w:r>
              <w:t xml:space="preserve">ns (COMAH) Sites </w:t>
            </w:r>
          </w:p>
          <w:p w14:paraId="53482DDB" w14:textId="77777777" w:rsidR="00C15423" w:rsidRDefault="00C15423" w:rsidP="00505C1C"/>
        </w:tc>
        <w:tc>
          <w:tcPr>
            <w:tcW w:w="3150" w:type="pct"/>
          </w:tcPr>
          <w:p w14:paraId="13140573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Development:</w:t>
            </w:r>
          </w:p>
          <w:p w14:paraId="0221CCEC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of new establishments, or </w:t>
            </w:r>
          </w:p>
          <w:p w14:paraId="65BF196D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modifications to existing establishments which could have significant repercussions on major accident hazards, or </w:t>
            </w:r>
          </w:p>
          <w:p w14:paraId="6F3F646E" w14:textId="77777777" w:rsidR="00C15423" w:rsidRPr="00955287" w:rsidRDefault="00C15423" w:rsidP="00505C1C">
            <w:pPr>
              <w:pStyle w:val="Bulletround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within 250 metres, where the siting or development would increase the risk or consequences of a major accident</w:t>
            </w:r>
            <w:r>
              <w:t>.</w:t>
            </w:r>
          </w:p>
        </w:tc>
        <w:tc>
          <w:tcPr>
            <w:tcW w:w="715" w:type="pct"/>
          </w:tcPr>
          <w:p w14:paraId="6DFCCE23" w14:textId="77777777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20461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6056C59D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56EBD4E0" w14:textId="77777777" w:rsidR="00C15423" w:rsidRDefault="00C15423" w:rsidP="00505C1C">
            <w:r w:rsidRPr="00955287">
              <w:t>Intensive farming</w:t>
            </w:r>
          </w:p>
        </w:tc>
        <w:tc>
          <w:tcPr>
            <w:tcW w:w="3150" w:type="pct"/>
          </w:tcPr>
          <w:p w14:paraId="305286D1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of intensive animal farming (such as pig or poultry) that may require an Environmental Permit</w:t>
            </w:r>
          </w:p>
        </w:tc>
        <w:tc>
          <w:tcPr>
            <w:tcW w:w="715" w:type="pct"/>
          </w:tcPr>
          <w:p w14:paraId="690AD9EA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2934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6C5DC502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BE80F8B" w14:textId="77777777" w:rsidR="00C15423" w:rsidRDefault="00C15423" w:rsidP="00505C1C">
            <w:r w:rsidRPr="00955287">
              <w:t>Pollution from land contamination</w:t>
            </w:r>
          </w:p>
        </w:tc>
        <w:tc>
          <w:tcPr>
            <w:tcW w:w="3150" w:type="pct"/>
          </w:tcPr>
          <w:p w14:paraId="10A93CD6" w14:textId="77777777" w:rsidR="00C15423" w:rsidRPr="00955287" w:rsidRDefault="00C15423" w:rsidP="00D1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 xml:space="preserve">Development </w:t>
            </w:r>
            <w:r>
              <w:t xml:space="preserve">on land </w:t>
            </w:r>
            <w:r w:rsidR="00854800">
              <w:t xml:space="preserve">in a Source Protection Zone </w:t>
            </w:r>
            <w:r>
              <w:t>where a previous use of the sit</w:t>
            </w:r>
            <w:r w:rsidR="00854800">
              <w:t>e may have caused contamination (</w:t>
            </w:r>
            <w:r w:rsidR="00854800">
              <w:rPr>
                <w:rStyle w:val="Boldtextblue"/>
              </w:rPr>
              <w:t>see list</w:t>
            </w:r>
            <w:r w:rsidR="00854800">
              <w:t>)</w:t>
            </w:r>
          </w:p>
        </w:tc>
        <w:tc>
          <w:tcPr>
            <w:tcW w:w="715" w:type="pct"/>
          </w:tcPr>
          <w:p w14:paraId="478FA29A" w14:textId="77777777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4128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02ED920A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645BE079" w14:textId="77777777" w:rsidR="00C15423" w:rsidRDefault="00C15423" w:rsidP="00505C1C">
            <w:r w:rsidRPr="00955287">
              <w:t>Mineral Extraction</w:t>
            </w:r>
          </w:p>
        </w:tc>
        <w:tc>
          <w:tcPr>
            <w:tcW w:w="3150" w:type="pct"/>
          </w:tcPr>
          <w:p w14:paraId="33BF80D0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 xml:space="preserve">Development involving </w:t>
            </w:r>
            <w:r>
              <w:t xml:space="preserve">or including </w:t>
            </w:r>
            <w:r w:rsidRPr="00955287">
              <w:t>mineral and mining operations and restoration schemes</w:t>
            </w:r>
            <w:r>
              <w:t xml:space="preserve"> </w:t>
            </w:r>
            <w:r w:rsidRPr="00067087">
              <w:t>relating to such development</w:t>
            </w:r>
            <w:r>
              <w:t>.</w:t>
            </w:r>
          </w:p>
        </w:tc>
        <w:tc>
          <w:tcPr>
            <w:tcW w:w="715" w:type="pct"/>
          </w:tcPr>
          <w:p w14:paraId="54BD72E5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5499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7A9203C3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6F082AC0" w14:textId="77777777" w:rsidR="00C15423" w:rsidRDefault="00C15423" w:rsidP="00505C1C">
            <w:r w:rsidRPr="00955287">
              <w:t>Oil and fuels</w:t>
            </w:r>
          </w:p>
        </w:tc>
        <w:tc>
          <w:tcPr>
            <w:tcW w:w="3150" w:type="pct"/>
          </w:tcPr>
          <w:p w14:paraId="275CEC88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Development for the purpose of refining or storing non-domestic oils and their by-products</w:t>
            </w:r>
            <w:r>
              <w:t>.</w:t>
            </w:r>
          </w:p>
        </w:tc>
        <w:tc>
          <w:tcPr>
            <w:tcW w:w="715" w:type="pct"/>
          </w:tcPr>
          <w:p w14:paraId="32EAF3A6" w14:textId="77777777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097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6F98E16A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4EA75596" w14:textId="77777777" w:rsidR="00C15423" w:rsidRPr="00955287" w:rsidRDefault="00C15423" w:rsidP="00505C1C">
            <w:r>
              <w:t>Refuse or waste</w:t>
            </w:r>
          </w:p>
          <w:p w14:paraId="048B3E2D" w14:textId="77777777" w:rsidR="00C15423" w:rsidRDefault="00C15423" w:rsidP="00505C1C"/>
        </w:tc>
        <w:tc>
          <w:tcPr>
            <w:tcW w:w="3150" w:type="pct"/>
          </w:tcPr>
          <w:p w14:paraId="6CDD004A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that includes:</w:t>
            </w:r>
          </w:p>
          <w:p w14:paraId="7560FCB5" w14:textId="77777777" w:rsidR="00C15423" w:rsidRPr="00955287" w:rsidRDefault="00C15423" w:rsidP="00505C1C">
            <w:pPr>
              <w:pStyle w:val="Bulletroundblac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955287">
              <w:t xml:space="preserve">he storage or spreading of sludge or slurry, or </w:t>
            </w:r>
          </w:p>
          <w:p w14:paraId="24CBA643" w14:textId="77777777" w:rsidR="00C15423" w:rsidRPr="00955287" w:rsidRDefault="00C15423" w:rsidP="00505C1C">
            <w:pPr>
              <w:pStyle w:val="Bulletroundblac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955287">
              <w:t>he storage, transfer, process, treatment and</w:t>
            </w:r>
            <w:r>
              <w:t xml:space="preserve"> </w:t>
            </w:r>
            <w:r w:rsidRPr="00955287">
              <w:t>/</w:t>
            </w:r>
            <w:r>
              <w:t xml:space="preserve"> </w:t>
            </w:r>
            <w:r w:rsidRPr="00955287">
              <w:t>or use of refuse or waste</w:t>
            </w:r>
            <w:r>
              <w:t>.</w:t>
            </w:r>
          </w:p>
        </w:tc>
        <w:tc>
          <w:tcPr>
            <w:tcW w:w="715" w:type="pct"/>
          </w:tcPr>
          <w:p w14:paraId="33B63195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504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7E3A843A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570C99DD" w14:textId="77777777" w:rsidR="00C15423" w:rsidRDefault="00C15423" w:rsidP="00505C1C">
            <w:r w:rsidRPr="00955287">
              <w:t>Non-mains drainage</w:t>
            </w:r>
          </w:p>
        </w:tc>
        <w:tc>
          <w:tcPr>
            <w:tcW w:w="3150" w:type="pct"/>
          </w:tcPr>
          <w:p w14:paraId="1977A4F4" w14:textId="77777777" w:rsidR="00C15423" w:rsidRPr="00955287" w:rsidRDefault="00503121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15423" w:rsidRPr="0046114B">
                <w:rPr>
                  <w:rStyle w:val="Hyperlink"/>
                </w:rPr>
                <w:t>Major development</w:t>
              </w:r>
            </w:hyperlink>
            <w:r w:rsidR="00C15423" w:rsidRPr="00955287">
              <w:t xml:space="preserve"> proposing to use non-mains foul drainage</w:t>
            </w:r>
            <w:r w:rsidR="00C15423">
              <w:t>.</w:t>
            </w:r>
          </w:p>
        </w:tc>
        <w:tc>
          <w:tcPr>
            <w:tcW w:w="715" w:type="pct"/>
          </w:tcPr>
          <w:p w14:paraId="1DFFED2C" w14:textId="5D29D46F" w:rsidR="00C15423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  <w:sdt>
              <w:sdtPr>
                <w:rPr>
                  <w:rStyle w:val="Hyperlink"/>
                </w:rPr>
                <w:id w:val="-1475983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503121">
                  <w:rPr>
                    <w:rStyle w:val="Hyperlink"/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C15423" w14:paraId="5D1D556B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25EF9DB5" w14:textId="77777777" w:rsidR="00C15423" w:rsidRDefault="00C15423" w:rsidP="00505C1C">
            <w:r w:rsidRPr="00955287">
              <w:lastRenderedPageBreak/>
              <w:t>Works affecting a watercourse</w:t>
            </w:r>
          </w:p>
        </w:tc>
        <w:tc>
          <w:tcPr>
            <w:tcW w:w="3150" w:type="pct"/>
          </w:tcPr>
          <w:p w14:paraId="7481ED4F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Development involving carrying out works or opera</w:t>
            </w:r>
            <w:r>
              <w:t>tions in the bed of or within 20</w:t>
            </w:r>
            <w:r w:rsidRPr="00955287">
              <w:t xml:space="preserve"> metres of the top of the bank of a Main River </w:t>
            </w:r>
            <w:r>
              <w:t>as</w:t>
            </w:r>
            <w:r w:rsidRPr="00955287">
              <w:t xml:space="preserve"> notified </w:t>
            </w:r>
            <w:r>
              <w:t>by the Environment Agency.</w:t>
            </w:r>
          </w:p>
        </w:tc>
        <w:tc>
          <w:tcPr>
            <w:tcW w:w="715" w:type="pct"/>
          </w:tcPr>
          <w:p w14:paraId="3779F79F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11409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29D54BF7" w14:textId="77777777" w:rsidTr="0015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4962CEB9" w14:textId="77777777" w:rsidR="00C15423" w:rsidRDefault="00C15423" w:rsidP="00505C1C">
            <w:r w:rsidRPr="00955287">
              <w:t>Discharge</w:t>
            </w:r>
            <w:r>
              <w:t xml:space="preserve"> </w:t>
            </w:r>
            <w:r w:rsidRPr="00955287">
              <w:t>/</w:t>
            </w:r>
            <w:r>
              <w:t xml:space="preserve"> </w:t>
            </w:r>
            <w:r w:rsidRPr="00955287">
              <w:t>variations of Conditions</w:t>
            </w:r>
          </w:p>
        </w:tc>
        <w:tc>
          <w:tcPr>
            <w:tcW w:w="3150" w:type="pct"/>
          </w:tcPr>
          <w:p w14:paraId="6EA17BC7" w14:textId="77777777" w:rsidR="00C15423" w:rsidRPr="00955287" w:rsidRDefault="00C15423" w:rsidP="00505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287">
              <w:t>Only consultations where the Environment Agency has requested the condition be attached to the planning permission.</w:t>
            </w:r>
          </w:p>
        </w:tc>
        <w:tc>
          <w:tcPr>
            <w:tcW w:w="715" w:type="pct"/>
          </w:tcPr>
          <w:p w14:paraId="441662B3" w14:textId="25BCC19E" w:rsidR="00C15423" w:rsidRPr="00955287" w:rsidRDefault="00520B01" w:rsidP="00520B0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6296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423" w14:paraId="747290E6" w14:textId="77777777" w:rsidTr="00155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</w:tcPr>
          <w:p w14:paraId="76CFFB86" w14:textId="77777777" w:rsidR="00C15423" w:rsidRDefault="00C15423" w:rsidP="00587B56">
            <w:r w:rsidRPr="00955287">
              <w:t xml:space="preserve">Planning appeals </w:t>
            </w:r>
          </w:p>
        </w:tc>
        <w:tc>
          <w:tcPr>
            <w:tcW w:w="3150" w:type="pct"/>
          </w:tcPr>
          <w:p w14:paraId="23F137BF" w14:textId="77777777" w:rsidR="00C15423" w:rsidRPr="00955287" w:rsidRDefault="00C15423" w:rsidP="00505C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5287">
              <w:t>Only appeals related to an Environment Agency objection or recommended condition</w:t>
            </w:r>
            <w:r>
              <w:t>.</w:t>
            </w:r>
          </w:p>
        </w:tc>
        <w:tc>
          <w:tcPr>
            <w:tcW w:w="715" w:type="pct"/>
          </w:tcPr>
          <w:p w14:paraId="77F45BCC" w14:textId="77777777" w:rsidR="00C15423" w:rsidRPr="00955287" w:rsidRDefault="00520B01" w:rsidP="00520B0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4149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2DC80E" w14:textId="77777777" w:rsidR="00D15F8E" w:rsidRDefault="00D15F8E" w:rsidP="00854800">
      <w:pPr>
        <w:pStyle w:val="Numberedsecondheading"/>
        <w:numPr>
          <w:ilvl w:val="0"/>
          <w:numId w:val="0"/>
        </w:numPr>
      </w:pPr>
    </w:p>
    <w:p w14:paraId="7960AEB4" w14:textId="77777777" w:rsidR="00854800" w:rsidRPr="001C5E4F" w:rsidRDefault="00D15F8E" w:rsidP="00854800">
      <w:pPr>
        <w:pStyle w:val="Numberedsecondheading"/>
        <w:numPr>
          <w:ilvl w:val="0"/>
          <w:numId w:val="0"/>
        </w:numPr>
        <w:rPr>
          <w:rStyle w:val="Boldtextblack"/>
        </w:rPr>
      </w:pPr>
      <w:r w:rsidRPr="001C5E4F">
        <w:rPr>
          <w:rStyle w:val="Boldtextblack"/>
        </w:rPr>
        <w:t xml:space="preserve">Pollution from land contamination </w:t>
      </w:r>
    </w:p>
    <w:p w14:paraId="0D1B25A2" w14:textId="77777777" w:rsidR="00D15F8E" w:rsidRDefault="00D15F8E" w:rsidP="00D15F8E">
      <w:pPr>
        <w:pStyle w:val="Maintextblack"/>
      </w:pPr>
    </w:p>
    <w:p w14:paraId="657F5D3D" w14:textId="77777777" w:rsidR="001C5E4F" w:rsidRPr="001C5E4F" w:rsidRDefault="001C5E4F" w:rsidP="001C5E4F">
      <w:pPr>
        <w:pStyle w:val="Maintextblack"/>
      </w:pPr>
      <w:r w:rsidRPr="001C5E4F">
        <w:t>Aircraft manufacturing works</w:t>
      </w:r>
    </w:p>
    <w:p w14:paraId="6228DF80" w14:textId="77777777" w:rsidR="001C5E4F" w:rsidRPr="001C5E4F" w:rsidRDefault="001C5E4F" w:rsidP="001C5E4F">
      <w:pPr>
        <w:pStyle w:val="Maintextblack"/>
      </w:pPr>
      <w:r w:rsidRPr="001C5E4F">
        <w:t>Airports or airfields</w:t>
      </w:r>
    </w:p>
    <w:p w14:paraId="55131262" w14:textId="77777777" w:rsidR="001C5E4F" w:rsidRPr="001C5E4F" w:rsidRDefault="001C5E4F" w:rsidP="001C5E4F">
      <w:pPr>
        <w:pStyle w:val="Maintextblack"/>
      </w:pPr>
      <w:r w:rsidRPr="001C5E4F">
        <w:t>Animal and animal products processing works</w:t>
      </w:r>
    </w:p>
    <w:p w14:paraId="57B50E1F" w14:textId="77777777" w:rsidR="001C5E4F" w:rsidRPr="001C5E4F" w:rsidRDefault="001C5E4F" w:rsidP="001C5E4F">
      <w:pPr>
        <w:pStyle w:val="Maintextblack"/>
      </w:pPr>
      <w:r w:rsidRPr="001C5E4F">
        <w:t>Ceramics, cement and asphalt manufacturing works</w:t>
      </w:r>
    </w:p>
    <w:p w14:paraId="57EB90E7" w14:textId="77777777" w:rsidR="001C5E4F" w:rsidRPr="001C5E4F" w:rsidRDefault="001C5E4F" w:rsidP="001C5E4F">
      <w:pPr>
        <w:pStyle w:val="Maintextblack"/>
      </w:pPr>
      <w:r w:rsidRPr="001C5E4F">
        <w:t>Coatings (paints and printing inks) manufacturing works</w:t>
      </w:r>
    </w:p>
    <w:p w14:paraId="0322DF5D" w14:textId="77777777" w:rsidR="001C5E4F" w:rsidRPr="001C5E4F" w:rsidRDefault="001C5E4F" w:rsidP="001C5E4F">
      <w:pPr>
        <w:pStyle w:val="Maintextblack"/>
      </w:pPr>
      <w:r w:rsidRPr="001C5E4F">
        <w:t>Cosmetics and toiletries manufacturing works</w:t>
      </w:r>
    </w:p>
    <w:p w14:paraId="6BDFA669" w14:textId="77777777" w:rsidR="001C5E4F" w:rsidRPr="001C5E4F" w:rsidRDefault="001C5E4F" w:rsidP="001C5E4F">
      <w:pPr>
        <w:pStyle w:val="Maintextblack"/>
      </w:pPr>
      <w:r w:rsidRPr="001C5E4F">
        <w:t>Current or former military land</w:t>
      </w:r>
    </w:p>
    <w:p w14:paraId="7DFFE9C0" w14:textId="77777777" w:rsidR="001C5E4F" w:rsidRPr="001C5E4F" w:rsidRDefault="001C5E4F" w:rsidP="001C5E4F">
      <w:pPr>
        <w:pStyle w:val="Maintextblack"/>
      </w:pPr>
      <w:r w:rsidRPr="001C5E4F">
        <w:t>Disinfectants manufacturing works</w:t>
      </w:r>
    </w:p>
    <w:p w14:paraId="5DB77956" w14:textId="77777777" w:rsidR="001C5E4F" w:rsidRPr="001C5E4F" w:rsidRDefault="001C5E4F" w:rsidP="001C5E4F">
      <w:pPr>
        <w:pStyle w:val="Maintextblack"/>
      </w:pPr>
      <w:r w:rsidRPr="001C5E4F">
        <w:t>Dockyards and Docklands</w:t>
      </w:r>
    </w:p>
    <w:p w14:paraId="62B6CB8E" w14:textId="77777777" w:rsidR="001C5E4F" w:rsidRPr="001C5E4F" w:rsidRDefault="001C5E4F" w:rsidP="001C5E4F">
      <w:pPr>
        <w:pStyle w:val="Maintextblack"/>
      </w:pPr>
      <w:r w:rsidRPr="001C5E4F">
        <w:t>Drum tank cleaning and recycling plants</w:t>
      </w:r>
    </w:p>
    <w:p w14:paraId="19ABF555" w14:textId="77777777" w:rsidR="001C5E4F" w:rsidRPr="001C5E4F" w:rsidRDefault="001C5E4F" w:rsidP="001C5E4F">
      <w:pPr>
        <w:pStyle w:val="Maintextblack"/>
      </w:pPr>
      <w:r w:rsidRPr="001C5E4F">
        <w:t>Dry Cleaners</w:t>
      </w:r>
    </w:p>
    <w:p w14:paraId="74EF832F" w14:textId="77777777" w:rsidR="001C5E4F" w:rsidRPr="001C5E4F" w:rsidRDefault="001C5E4F" w:rsidP="001C5E4F">
      <w:pPr>
        <w:pStyle w:val="Maintextblack"/>
      </w:pPr>
      <w:r w:rsidRPr="001C5E4F">
        <w:t>Electrical and electronic equipment manufacturing works (including works manufacturing equipment containing PCB's)</w:t>
      </w:r>
    </w:p>
    <w:p w14:paraId="2388A2F4" w14:textId="77777777" w:rsidR="001C5E4F" w:rsidRPr="001C5E4F" w:rsidRDefault="001C5E4F" w:rsidP="001C5E4F">
      <w:pPr>
        <w:pStyle w:val="Maintextblack"/>
      </w:pPr>
      <w:r w:rsidRPr="001C5E4F">
        <w:t>Electroplating and other metal finishing works</w:t>
      </w:r>
    </w:p>
    <w:p w14:paraId="4BE02E4D" w14:textId="77777777" w:rsidR="001C5E4F" w:rsidRPr="001C5E4F" w:rsidRDefault="001C5E4F" w:rsidP="001C5E4F">
      <w:pPr>
        <w:pStyle w:val="Maintextblack"/>
      </w:pPr>
      <w:r w:rsidRPr="001C5E4F">
        <w:t>Explosives, propellants and pyrotechnics manufacturing works</w:t>
      </w:r>
    </w:p>
    <w:p w14:paraId="725D1AA2" w14:textId="77777777" w:rsidR="001C5E4F" w:rsidRPr="001C5E4F" w:rsidRDefault="001C5E4F" w:rsidP="001C5E4F">
      <w:pPr>
        <w:pStyle w:val="Maintextblack"/>
      </w:pPr>
      <w:r w:rsidRPr="001C5E4F">
        <w:t>Fertiliser manufacturing works</w:t>
      </w:r>
    </w:p>
    <w:p w14:paraId="78D3B0CF" w14:textId="77777777" w:rsidR="001C5E4F" w:rsidRPr="001C5E4F" w:rsidRDefault="001C5E4F" w:rsidP="001C5E4F">
      <w:pPr>
        <w:pStyle w:val="Maintextblack"/>
      </w:pPr>
      <w:r w:rsidRPr="001C5E4F">
        <w:t>Fibreglass and fibreglass resin manufacturing works</w:t>
      </w:r>
    </w:p>
    <w:p w14:paraId="6C32EE0E" w14:textId="77777777" w:rsidR="001C5E4F" w:rsidRPr="001C5E4F" w:rsidRDefault="001C5E4F" w:rsidP="001C5E4F">
      <w:pPr>
        <w:pStyle w:val="Maintextblack"/>
      </w:pPr>
      <w:r w:rsidRPr="001C5E4F">
        <w:t>Fine chemicals manufacturing works</w:t>
      </w:r>
    </w:p>
    <w:p w14:paraId="78E38ED6" w14:textId="77777777" w:rsidR="001C5E4F" w:rsidRPr="001C5E4F" w:rsidRDefault="001C5E4F" w:rsidP="001C5E4F">
      <w:pPr>
        <w:pStyle w:val="Maintextblack"/>
      </w:pPr>
      <w:r w:rsidRPr="001C5E4F">
        <w:t>Gas works, coke works, and other coal carbonisation plants</w:t>
      </w:r>
    </w:p>
    <w:p w14:paraId="4CEB9C68" w14:textId="77777777" w:rsidR="001C5E4F" w:rsidRPr="001C5E4F" w:rsidRDefault="001C5E4F" w:rsidP="001C5E4F">
      <w:pPr>
        <w:pStyle w:val="Maintextblack"/>
      </w:pPr>
      <w:r w:rsidRPr="001C5E4F">
        <w:t>Glass manufacturing works</w:t>
      </w:r>
    </w:p>
    <w:p w14:paraId="05DC1495" w14:textId="77777777" w:rsidR="001C5E4F" w:rsidRPr="001C5E4F" w:rsidRDefault="001C5E4F" w:rsidP="001C5E4F">
      <w:pPr>
        <w:pStyle w:val="Maintextblack"/>
      </w:pPr>
      <w:r w:rsidRPr="001C5E4F">
        <w:t>Hazardous waste treatment plants</w:t>
      </w:r>
    </w:p>
    <w:p w14:paraId="670E4097" w14:textId="77777777" w:rsidR="001C5E4F" w:rsidRPr="001C5E4F" w:rsidRDefault="001C5E4F" w:rsidP="001C5E4F">
      <w:pPr>
        <w:pStyle w:val="Maintextblack"/>
      </w:pPr>
      <w:r w:rsidRPr="001C5E4F">
        <w:t>Inorganic chemicals manufacturing works</w:t>
      </w:r>
    </w:p>
    <w:p w14:paraId="28D0BDFE" w14:textId="77777777" w:rsidR="001C5E4F" w:rsidRPr="001C5E4F" w:rsidRDefault="001C5E4F" w:rsidP="001C5E4F">
      <w:pPr>
        <w:pStyle w:val="Maintextblack"/>
      </w:pPr>
      <w:r w:rsidRPr="001C5E4F">
        <w:t>Iron and steelworks</w:t>
      </w:r>
    </w:p>
    <w:p w14:paraId="6B158AA5" w14:textId="77777777" w:rsidR="001C5E4F" w:rsidRPr="001C5E4F" w:rsidRDefault="001C5E4F" w:rsidP="001C5E4F">
      <w:pPr>
        <w:pStyle w:val="Maintextblack"/>
      </w:pPr>
      <w:r w:rsidRPr="001C5E4F">
        <w:t>Lead works</w:t>
      </w:r>
    </w:p>
    <w:p w14:paraId="3474BFD2" w14:textId="77777777" w:rsidR="001C5E4F" w:rsidRPr="001C5E4F" w:rsidRDefault="001C5E4F" w:rsidP="001C5E4F">
      <w:pPr>
        <w:pStyle w:val="Maintextblack"/>
      </w:pPr>
      <w:r w:rsidRPr="001C5E4F">
        <w:t>Linoleum, vinyl and bitumen-based floor covering manufacturing works</w:t>
      </w:r>
    </w:p>
    <w:p w14:paraId="7DEFBA12" w14:textId="77777777" w:rsidR="001C5E4F" w:rsidRPr="001C5E4F" w:rsidRDefault="001C5E4F" w:rsidP="001C5E4F">
      <w:pPr>
        <w:pStyle w:val="Maintextblack"/>
      </w:pPr>
      <w:r w:rsidRPr="001C5E4F">
        <w:t>Mastics, sealants, adhesives and roofing felt manufacturing works</w:t>
      </w:r>
    </w:p>
    <w:p w14:paraId="70C23C1F" w14:textId="77777777" w:rsidR="001C5E4F" w:rsidRPr="001C5E4F" w:rsidRDefault="001C5E4F" w:rsidP="001C5E4F">
      <w:pPr>
        <w:pStyle w:val="Maintextblack"/>
      </w:pPr>
      <w:r w:rsidRPr="001C5E4F">
        <w:t>Mechanical engineering and ordnance works</w:t>
      </w:r>
    </w:p>
    <w:p w14:paraId="66896D91" w14:textId="77777777" w:rsidR="001C5E4F" w:rsidRDefault="001C5E4F" w:rsidP="001C5E4F">
      <w:pPr>
        <w:pStyle w:val="Maintextblack"/>
      </w:pPr>
      <w:r w:rsidRPr="001C5E4F">
        <w:t>Metal recycling sites</w:t>
      </w:r>
    </w:p>
    <w:p w14:paraId="413D3AB4" w14:textId="77777777" w:rsidR="001C5E4F" w:rsidRDefault="001C5E4F" w:rsidP="001C5E4F">
      <w:pPr>
        <w:pStyle w:val="Maintextblack"/>
      </w:pPr>
    </w:p>
    <w:p w14:paraId="6501DBDD" w14:textId="77777777" w:rsidR="001C5E4F" w:rsidRPr="001C5E4F" w:rsidRDefault="001C5E4F" w:rsidP="001C5E4F">
      <w:pPr>
        <w:pStyle w:val="Maintextblack"/>
      </w:pPr>
    </w:p>
    <w:p w14:paraId="135C8A46" w14:textId="77777777" w:rsidR="001C5E4F" w:rsidRPr="001C5E4F" w:rsidRDefault="001C5E4F" w:rsidP="001C5E4F">
      <w:pPr>
        <w:pStyle w:val="Maintextblack"/>
      </w:pPr>
      <w:r w:rsidRPr="001C5E4F">
        <w:lastRenderedPageBreak/>
        <w:t>Nonferrous metal works (excluding lead works)</w:t>
      </w:r>
    </w:p>
    <w:p w14:paraId="603162DD" w14:textId="77777777" w:rsidR="001C5E4F" w:rsidRPr="001C5E4F" w:rsidRDefault="001C5E4F" w:rsidP="001C5E4F">
      <w:pPr>
        <w:pStyle w:val="Maintextblack"/>
      </w:pPr>
      <w:r w:rsidRPr="001C5E4F">
        <w:t>Oil refineries and bulk storage of crude oil and petroleum products</w:t>
      </w:r>
    </w:p>
    <w:p w14:paraId="61AAA468" w14:textId="77777777" w:rsidR="001C5E4F" w:rsidRPr="001C5E4F" w:rsidRDefault="001C5E4F" w:rsidP="001C5E4F">
      <w:pPr>
        <w:pStyle w:val="Maintextblack"/>
      </w:pPr>
      <w:r w:rsidRPr="001C5E4F">
        <w:t>Organic chemicals manufacturing works</w:t>
      </w:r>
    </w:p>
    <w:p w14:paraId="6A7207BD" w14:textId="77777777" w:rsidR="001C5E4F" w:rsidRPr="001C5E4F" w:rsidRDefault="001C5E4F" w:rsidP="001C5E4F">
      <w:pPr>
        <w:pStyle w:val="Maintextblack"/>
      </w:pPr>
      <w:r w:rsidRPr="001C5E4F">
        <w:t>Pesticides manufacturing works</w:t>
      </w:r>
    </w:p>
    <w:p w14:paraId="339FD552" w14:textId="77777777" w:rsidR="001C5E4F" w:rsidRPr="001C5E4F" w:rsidRDefault="001C5E4F" w:rsidP="001C5E4F">
      <w:pPr>
        <w:pStyle w:val="Maintextblack"/>
      </w:pPr>
      <w:r w:rsidRPr="001C5E4F">
        <w:t>Petrol filling stations</w:t>
      </w:r>
    </w:p>
    <w:p w14:paraId="15C787B4" w14:textId="77777777" w:rsidR="001C5E4F" w:rsidRPr="001C5E4F" w:rsidRDefault="001C5E4F" w:rsidP="001C5E4F">
      <w:pPr>
        <w:pStyle w:val="Maintextblack"/>
      </w:pPr>
      <w:r w:rsidRPr="001C5E4F">
        <w:t>Pharmaceuticals manufacturing works</w:t>
      </w:r>
    </w:p>
    <w:p w14:paraId="22ADC0DC" w14:textId="77777777" w:rsidR="001C5E4F" w:rsidRPr="001C5E4F" w:rsidRDefault="001C5E4F" w:rsidP="001C5E4F">
      <w:pPr>
        <w:pStyle w:val="Maintextblack"/>
      </w:pPr>
      <w:r w:rsidRPr="001C5E4F">
        <w:t>Photographic processing industry</w:t>
      </w:r>
    </w:p>
    <w:p w14:paraId="7ECC81CC" w14:textId="77777777" w:rsidR="001C5E4F" w:rsidRPr="001C5E4F" w:rsidRDefault="001C5E4F" w:rsidP="001C5E4F">
      <w:pPr>
        <w:pStyle w:val="Maintextblack"/>
      </w:pPr>
      <w:r w:rsidRPr="001C5E4F">
        <w:t>Power stations (excluding nuclear power stations)</w:t>
      </w:r>
    </w:p>
    <w:p w14:paraId="069C7310" w14:textId="77777777" w:rsidR="001C5E4F" w:rsidRPr="001C5E4F" w:rsidRDefault="001C5E4F" w:rsidP="001C5E4F">
      <w:pPr>
        <w:pStyle w:val="Maintextblack"/>
      </w:pPr>
      <w:r w:rsidRPr="001C5E4F">
        <w:t>Precious metal recovery works</w:t>
      </w:r>
    </w:p>
    <w:p w14:paraId="3AF6DB58" w14:textId="77777777" w:rsidR="001C5E4F" w:rsidRPr="001C5E4F" w:rsidRDefault="001C5E4F" w:rsidP="001C5E4F">
      <w:pPr>
        <w:pStyle w:val="Maintextblack"/>
      </w:pPr>
      <w:r w:rsidRPr="001C5E4F">
        <w:t>Printing and bookbinding works</w:t>
      </w:r>
    </w:p>
    <w:p w14:paraId="2B499117" w14:textId="77777777" w:rsidR="001C5E4F" w:rsidRPr="001C5E4F" w:rsidRDefault="001C5E4F" w:rsidP="001C5E4F">
      <w:pPr>
        <w:pStyle w:val="Maintextblack"/>
      </w:pPr>
      <w:r w:rsidRPr="001C5E4F">
        <w:t>Pulp and paper manufacturing works</w:t>
      </w:r>
    </w:p>
    <w:p w14:paraId="404FFC31" w14:textId="77777777" w:rsidR="001C5E4F" w:rsidRPr="001C5E4F" w:rsidRDefault="001C5E4F" w:rsidP="001C5E4F">
      <w:pPr>
        <w:pStyle w:val="Maintextblack"/>
      </w:pPr>
      <w:r w:rsidRPr="001C5E4F">
        <w:t>Railway engineering works and railway land</w:t>
      </w:r>
    </w:p>
    <w:p w14:paraId="578ABFA9" w14:textId="77777777" w:rsidR="001C5E4F" w:rsidRPr="001C5E4F" w:rsidRDefault="001C5E4F" w:rsidP="001C5E4F">
      <w:pPr>
        <w:pStyle w:val="Maintextblack"/>
      </w:pPr>
      <w:r w:rsidRPr="001C5E4F">
        <w:t>Regulated or historic landfill</w:t>
      </w:r>
    </w:p>
    <w:p w14:paraId="00E7AAC3" w14:textId="77777777" w:rsidR="001C5E4F" w:rsidRPr="001C5E4F" w:rsidRDefault="001C5E4F" w:rsidP="001C5E4F">
      <w:pPr>
        <w:pStyle w:val="Maintextblack"/>
      </w:pPr>
      <w:r w:rsidRPr="001C5E4F">
        <w:t>Rubber processing works (including works manufacturing tyres or other rubber products)</w:t>
      </w:r>
    </w:p>
    <w:p w14:paraId="528EB1B0" w14:textId="77777777" w:rsidR="001C5E4F" w:rsidRPr="001C5E4F" w:rsidRDefault="001C5E4F" w:rsidP="001C5E4F">
      <w:pPr>
        <w:pStyle w:val="Maintextblack"/>
      </w:pPr>
      <w:r w:rsidRPr="001C5E4F">
        <w:t>Shipbuilding, repair and ship breaking (including naval shipyards)</w:t>
      </w:r>
    </w:p>
    <w:p w14:paraId="47438547" w14:textId="77777777" w:rsidR="001C5E4F" w:rsidRPr="001C5E4F" w:rsidRDefault="001C5E4F" w:rsidP="001C5E4F">
      <w:pPr>
        <w:pStyle w:val="Maintextblack"/>
      </w:pPr>
      <w:r w:rsidRPr="001C5E4F">
        <w:t>Soap and detergent manufacturing works</w:t>
      </w:r>
    </w:p>
    <w:p w14:paraId="045CE005" w14:textId="77777777" w:rsidR="001C5E4F" w:rsidRPr="001C5E4F" w:rsidRDefault="001C5E4F" w:rsidP="001C5E4F">
      <w:pPr>
        <w:pStyle w:val="Maintextblack"/>
      </w:pPr>
      <w:r w:rsidRPr="001C5E4F">
        <w:t>Solvent recovery works</w:t>
      </w:r>
    </w:p>
    <w:p w14:paraId="7A0AD084" w14:textId="77777777" w:rsidR="001C5E4F" w:rsidRPr="001C5E4F" w:rsidRDefault="001C5E4F" w:rsidP="001C5E4F">
      <w:pPr>
        <w:pStyle w:val="Maintextblack"/>
      </w:pPr>
      <w:r w:rsidRPr="001C5E4F">
        <w:t>Textile works and dye works</w:t>
      </w:r>
    </w:p>
    <w:p w14:paraId="0BEE5AB5" w14:textId="77777777" w:rsidR="001C5E4F" w:rsidRPr="001C5E4F" w:rsidRDefault="001C5E4F" w:rsidP="001C5E4F">
      <w:pPr>
        <w:pStyle w:val="Maintextblack"/>
      </w:pPr>
      <w:r w:rsidRPr="001C5E4F">
        <w:t>Timber products and manufacturing works</w:t>
      </w:r>
    </w:p>
    <w:p w14:paraId="521A83E1" w14:textId="77777777" w:rsidR="001C5E4F" w:rsidRPr="001C5E4F" w:rsidRDefault="001C5E4F" w:rsidP="001C5E4F">
      <w:pPr>
        <w:pStyle w:val="Maintextblack"/>
      </w:pPr>
      <w:r w:rsidRPr="001C5E4F">
        <w:t>Timber treatment works</w:t>
      </w:r>
    </w:p>
    <w:p w14:paraId="5E423C6F" w14:textId="77777777" w:rsidR="001C5E4F" w:rsidRPr="001C5E4F" w:rsidRDefault="001C5E4F" w:rsidP="001C5E4F">
      <w:pPr>
        <w:pStyle w:val="Maintextblack"/>
      </w:pPr>
      <w:r w:rsidRPr="001C5E4F">
        <w:t>Transport and haulage centres</w:t>
      </w:r>
    </w:p>
    <w:p w14:paraId="2E15452B" w14:textId="77777777" w:rsidR="001C5E4F" w:rsidRPr="001C5E4F" w:rsidRDefault="001C5E4F" w:rsidP="001C5E4F">
      <w:pPr>
        <w:pStyle w:val="Maintextblack"/>
      </w:pPr>
      <w:r w:rsidRPr="001C5E4F">
        <w:t>Vehicle manufacturing works</w:t>
      </w:r>
    </w:p>
    <w:p w14:paraId="010B4A1B" w14:textId="77777777" w:rsidR="001C5E4F" w:rsidRDefault="001C5E4F" w:rsidP="001C5E4F">
      <w:pPr>
        <w:pStyle w:val="Maintextblack"/>
      </w:pPr>
      <w:r w:rsidRPr="001C5E4F">
        <w:t>Waste disposal / treatment sites</w:t>
      </w:r>
    </w:p>
    <w:p w14:paraId="2926AC3A" w14:textId="77777777" w:rsidR="001C5E4F" w:rsidRDefault="001C5E4F" w:rsidP="00D15F8E">
      <w:pPr>
        <w:pStyle w:val="Maintextblack"/>
      </w:pPr>
    </w:p>
    <w:p w14:paraId="4BA9EC50" w14:textId="77777777" w:rsidR="00155F09" w:rsidRDefault="00155F09" w:rsidP="00854800">
      <w:pPr>
        <w:pStyle w:val="Numberedsecondheading"/>
        <w:numPr>
          <w:ilvl w:val="0"/>
          <w:numId w:val="0"/>
        </w:numPr>
      </w:pPr>
    </w:p>
    <w:sectPr w:rsidR="00155F09" w:rsidSect="001866A5">
      <w:headerReference w:type="default" r:id="rId13"/>
      <w:footerReference w:type="default" r:id="rId14"/>
      <w:headerReference w:type="first" r:id="rId15"/>
      <w:footerReference w:type="first" r:id="rId16"/>
      <w:pgSz w:w="11899" w:h="16838" w:code="9"/>
      <w:pgMar w:top="737" w:right="737" w:bottom="737" w:left="737" w:header="34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FA2A" w14:textId="77777777" w:rsidR="006923B1" w:rsidRDefault="006923B1" w:rsidP="002F321C">
      <w:r>
        <w:separator/>
      </w:r>
    </w:p>
  </w:endnote>
  <w:endnote w:type="continuationSeparator" w:id="0">
    <w:p w14:paraId="26EC3322" w14:textId="77777777" w:rsidR="006923B1" w:rsidRDefault="006923B1" w:rsidP="002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7DD1" w14:textId="77777777" w:rsidR="00505C1C" w:rsidRDefault="00505C1C" w:rsidP="00813A53">
    <w:pPr>
      <w:ind w:left="-17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AFD5F80" wp14:editId="6545A590">
          <wp:simplePos x="0" y="0"/>
          <wp:positionH relativeFrom="column">
            <wp:posOffset>-216031</wp:posOffset>
          </wp:positionH>
          <wp:positionV relativeFrom="paragraph">
            <wp:posOffset>-292927</wp:posOffset>
          </wp:positionV>
          <wp:extent cx="10591440" cy="785004"/>
          <wp:effectExtent l="19050" t="0" r="360" b="0"/>
          <wp:wrapNone/>
          <wp:docPr id="1" name="Picture 0" descr="word footer second page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ooter second page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440" cy="78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FF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ED6D17" wp14:editId="1E7ED4CA">
              <wp:simplePos x="0" y="0"/>
              <wp:positionH relativeFrom="column">
                <wp:posOffset>-143510</wp:posOffset>
              </wp:positionH>
              <wp:positionV relativeFrom="paragraph">
                <wp:posOffset>116205</wp:posOffset>
              </wp:positionV>
              <wp:extent cx="4168775" cy="255905"/>
              <wp:effectExtent l="0" t="1905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58CB" w14:textId="77777777" w:rsidR="00505C1C" w:rsidRDefault="00505C1C" w:rsidP="009A5793">
                          <w:pPr>
                            <w:jc w:val="both"/>
                          </w:pPr>
                          <w:r>
                            <w:t>www.gov.uk/environment-agency</w:t>
                          </w:r>
                        </w:p>
                        <w:p w14:paraId="74AA3916" w14:textId="77777777" w:rsidR="00505C1C" w:rsidRDefault="00505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D6D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1.3pt;margin-top:9.15pt;width:328.2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ot4QEAAKEDAAAOAAAAZHJzL2Uyb0RvYy54bWysU8Fu2zAMvQ/YPwi6L7aDuGmNOEXXosOA&#10;bh3Q7QNkWbaF2aJGKbGzrx8lp2m23YpeBImkH997pDfX09CzvUKnwZQ8W6ScKSOh1qYt+Y/v9x8u&#10;OXNemFr0YFTJD8rx6+37d5vRFmoJHfS1QkYgxhWjLXnnvS2SxMlODcItwCpDyQZwEJ6e2CY1ipHQ&#10;hz5ZpulFMgLWFkEq5yh6Nyf5NuI3jZL+sWmc8qwvOXHz8cR4VuFMthtRtChsp+WRhngFi0FoQ01P&#10;UHfCC7ZD/R/UoCWCg8YvJAwJNI2WKmogNVn6j5qnTlgVtZA5zp5scm8HK7/un+w3ZH76CBMNMIpw&#10;9gHkT8cM3HbCtOoGEcZOiZoaZ8GyZLSuOH4arHaFCyDV+AVqGrLYeYhAU4NDcIV0MkKnARxOpqvJ&#10;M0nBVXZxuV7nnEnKLfP8Ks1jC1E8f23R+U8KBhYuJUcaakQX+wfnAxtRPJeEZgbudd/HwfbmrwAV&#10;hkhkHwjP1P1UTVQdVFRQH0gHwrwntNd06QB/czbSjpTc/doJVJz1nw15cZWtVmGp4mOVr5f0wPNM&#10;dZ4RRhJUyT1n8/XWz4u4s6jbjjrN7hu4If8aHaW9sDrypj2Iio87Gxbt/B2rXv6s7R8AAAD//wMA&#10;UEsDBBQABgAIAAAAIQCzhhym3gAAAAkBAAAPAAAAZHJzL2Rvd25yZXYueG1sTI/LTsMwEEX3SPyD&#10;NUjsWpuERmkap0IgtiDKQ+rOjadJRDyOYrcJf8+wosvRPbr3TLmdXS/OOIbOk4a7pQKBVHvbUaPh&#10;4/15kYMI0ZA1vSfU8IMBttX1VWkK6yd6w/MuNoJLKBRGQxvjUEgZ6hadCUs/IHF29KMzkc+xkXY0&#10;E5e7XiZKZdKZjnihNQM+tlh/705Ow+fLcf91r16bJ7caJj8rSW4ttb69mR82ICLO8R+GP31Wh4qd&#10;Dv5ENohewyJJMkY5yFMQDGRpugZx0LDKM5BVKS8/qH4BAAD//wMAUEsBAi0AFAAGAAgAAAAhALaD&#10;OJL+AAAA4QEAABMAAAAAAAAAAAAAAAAAAAAAAFtDb250ZW50X1R5cGVzXS54bWxQSwECLQAUAAYA&#10;CAAAACEAOP0h/9YAAACUAQAACwAAAAAAAAAAAAAAAAAvAQAAX3JlbHMvLnJlbHNQSwECLQAUAAYA&#10;CAAAACEA5kvqLeEBAAChAwAADgAAAAAAAAAAAAAAAAAuAgAAZHJzL2Uyb0RvYy54bWxQSwECLQAU&#10;AAYACAAAACEAs4Ycpt4AAAAJAQAADwAAAAAAAAAAAAAAAAA7BAAAZHJzL2Rvd25yZXYueG1sUEsF&#10;BgAAAAAEAAQA8wAAAEYFAAAAAA==&#10;" filled="f" stroked="f">
              <v:textbox>
                <w:txbxContent>
                  <w:p w14:paraId="3A9B58CB" w14:textId="77777777" w:rsidR="00505C1C" w:rsidRDefault="00505C1C" w:rsidP="009A5793">
                    <w:pPr>
                      <w:jc w:val="both"/>
                    </w:pPr>
                    <w:r>
                      <w:t>www.gov.uk/environment-agency</w:t>
                    </w:r>
                  </w:p>
                  <w:p w14:paraId="74AA3916" w14:textId="77777777" w:rsidR="00505C1C" w:rsidRDefault="00505C1C"/>
                </w:txbxContent>
              </v:textbox>
            </v:shape>
          </w:pict>
        </mc:Fallback>
      </mc:AlternateContent>
    </w:r>
  </w:p>
  <w:p w14:paraId="5FB0834E" w14:textId="77777777" w:rsidR="00505C1C" w:rsidRPr="00813A53" w:rsidRDefault="00505C1C" w:rsidP="001866A5">
    <w:pPr>
      <w:pStyle w:val="Footer"/>
      <w:tabs>
        <w:tab w:val="left" w:pos="4062"/>
        <w:tab w:val="right" w:pos="104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AB23" w14:textId="77777777" w:rsidR="00505C1C" w:rsidRDefault="003A3FF8" w:rsidP="006D40B2">
    <w:pPr>
      <w:pStyle w:val="Footer"/>
      <w:ind w:left="-1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A1827" wp14:editId="1F1D849C">
              <wp:simplePos x="0" y="0"/>
              <wp:positionH relativeFrom="column">
                <wp:posOffset>-67945</wp:posOffset>
              </wp:positionH>
              <wp:positionV relativeFrom="paragraph">
                <wp:posOffset>-9525</wp:posOffset>
              </wp:positionV>
              <wp:extent cx="4505325" cy="295275"/>
              <wp:effectExtent l="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FD45C" w14:textId="77777777" w:rsidR="00505C1C" w:rsidRDefault="00505C1C">
                          <w:r>
                            <w:t>www.gov.uk/environment-agency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A18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.35pt;margin-top:-.75pt;width:35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8r4wEAAKgDAAAOAAAAZHJzL2Uyb0RvYy54bWysU9tu2zAMfR+wfxD0vtjx4nU14hRdiw4D&#10;ugvQ9QNkWbaF2aJGKbGzrx8lu2m2vRV7EURSPjznkN5eTUPPDgqdBlPy9SrlTBkJtTZtyR+/3715&#10;z5nzwtSiB6NKflSOX+1ev9qOtlAZdNDXChmBGFeMtuSd97ZIEic7NQi3AqsMFRvAQXgKsU1qFCOh&#10;D32Spem7ZASsLYJUzlH2di7yXcRvGiX916ZxyrO+5MTNxxPjWYUz2W1F0aKwnZYLDfECFoPQhpqe&#10;oG6FF2yP+h+oQUsEB41fSRgSaBotVdRAatbpX2oeOmFV1ELmOHuyyf0/WPnl8GC/IfPTB5hogFGE&#10;s/cgfzhm4KYTplXXiDB2StTUeB0sS0briuXTYLUrXACpxs9Q05DF3kMEmhocgiukkxE6DeB4Ml1N&#10;nklKbvI0f5vlnEmqZZd5dpHHFqJ4+tqi8x8VDCxcSo401IguDvfOBzaieHoSmhm4030fB9ubPxL0&#10;MGQi+0B4pu6namK6XqQFMRXUR5KDMK8LrTddOsBfnI20KiV3P/cCFWf9J0OWXK43m7BbMdjkFxkF&#10;eF6pzivCSIIquedsvt74eR/3FnXbUad5CAauycZGR4XPrBb6tA5R+LK6Yd/O4/jq+Qfb/QYAAP//&#10;AwBQSwMEFAAGAAgAAAAhANTwv+HdAAAACQEAAA8AAABkcnMvZG93bnJldi54bWxMj01PwzAMhu9I&#10;/IfISNy2ZGgdW6k7IRBXEOND4pY1XlvROFWTreXf453gZsuPXj9vsZ18p040xDYwwmJuQBFXwbVc&#10;I7y/Pc3WoGKy7GwXmBB+KMK2vLwobO7CyK902qVaSQjH3CI0KfW51rFqyNs4Dz2x3A5h8DbJOtTa&#10;DXaUcN/pG2NW2tuW5UNje3poqPreHT3Cx/Ph63NpXupHn/VjmIxmv9GI11fT/R2oRFP6g+GsL+pQ&#10;itM+HNlF1SHMFuZW0POQgRJgtVlLlz3CMjOgy0L/b1D+AgAA//8DAFBLAQItABQABgAIAAAAIQC2&#10;gziS/gAAAOEBAAATAAAAAAAAAAAAAAAAAAAAAABbQ29udGVudF9UeXBlc10ueG1sUEsBAi0AFAAG&#10;AAgAAAAhADj9If/WAAAAlAEAAAsAAAAAAAAAAAAAAAAALwEAAF9yZWxzLy5yZWxzUEsBAi0AFAAG&#10;AAgAAAAhAGOP/yvjAQAAqAMAAA4AAAAAAAAAAAAAAAAALgIAAGRycy9lMm9Eb2MueG1sUEsBAi0A&#10;FAAGAAgAAAAhANTwv+HdAAAACQEAAA8AAAAAAAAAAAAAAAAAPQQAAGRycy9kb3ducmV2LnhtbFBL&#10;BQYAAAAABAAEAPMAAABHBQAAAAA=&#10;" filled="f" stroked="f">
              <v:textbox>
                <w:txbxContent>
                  <w:p w14:paraId="275FD45C" w14:textId="77777777" w:rsidR="00505C1C" w:rsidRDefault="00505C1C">
                    <w:r>
                      <w:t>www.gov.uk/environment-agency</w:t>
                    </w:r>
                  </w:p>
                </w:txbxContent>
              </v:textbox>
            </v:shape>
          </w:pict>
        </mc:Fallback>
      </mc:AlternateContent>
    </w:r>
    <w:r w:rsidR="00505C1C">
      <w:rPr>
        <w:noProof/>
      </w:rPr>
      <w:drawing>
        <wp:anchor distT="0" distB="0" distL="114300" distR="114300" simplePos="0" relativeHeight="251655680" behindDoc="0" locked="1" layoutInCell="1" allowOverlap="1" wp14:anchorId="4A75127D" wp14:editId="085319A2">
          <wp:simplePos x="0" y="0"/>
          <wp:positionH relativeFrom="page">
            <wp:align>right</wp:align>
          </wp:positionH>
          <wp:positionV relativeFrom="paragraph">
            <wp:posOffset>-1794510</wp:posOffset>
          </wp:positionV>
          <wp:extent cx="2159000" cy="2033270"/>
          <wp:effectExtent l="19050" t="0" r="0" b="0"/>
          <wp:wrapNone/>
          <wp:docPr id="3" name="Picture 3" descr="FS_Foo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_Footer_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03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C1C">
      <w:rPr>
        <w:noProof/>
      </w:rPr>
      <w:drawing>
        <wp:inline distT="0" distB="0" distL="0" distR="0" wp14:anchorId="770B159E" wp14:editId="7F495052">
          <wp:extent cx="11725275" cy="238125"/>
          <wp:effectExtent l="19050" t="0" r="9525" b="0"/>
          <wp:docPr id="2" name="Picture 4" descr="FS_Bottom_Ba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_Bottom_Bar_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7252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9D4E30" w14:textId="77777777" w:rsidR="00505C1C" w:rsidRPr="006D40B2" w:rsidRDefault="00505C1C" w:rsidP="00E80C41">
    <w:pPr>
      <w:pStyle w:val="Footer"/>
      <w:tabs>
        <w:tab w:val="right" w:pos="10425"/>
      </w:tabs>
      <w:jc w:val="center"/>
    </w:pPr>
    <w:r w:rsidRPr="00705B65">
      <w:tab/>
      <w:t xml:space="preserve"> </w:t>
    </w:r>
    <w:r w:rsidR="005321C1">
      <w:fldChar w:fldCharType="begin"/>
    </w:r>
    <w:r w:rsidR="005321C1">
      <w:instrText xml:space="preserve"> PAGE </w:instrText>
    </w:r>
    <w:r w:rsidR="005321C1">
      <w:fldChar w:fldCharType="separate"/>
    </w:r>
    <w:r w:rsidR="002A5330">
      <w:rPr>
        <w:noProof/>
      </w:rPr>
      <w:t>1</w:t>
    </w:r>
    <w:r w:rsidR="005321C1">
      <w:rPr>
        <w:noProof/>
      </w:rPr>
      <w:fldChar w:fldCharType="end"/>
    </w:r>
    <w:r>
      <w:t xml:space="preserve"> of </w:t>
    </w:r>
    <w:r w:rsidR="0000654C">
      <w:rPr>
        <w:noProof/>
      </w:rPr>
      <w:fldChar w:fldCharType="begin"/>
    </w:r>
    <w:r w:rsidR="0000654C">
      <w:rPr>
        <w:noProof/>
      </w:rPr>
      <w:instrText xml:space="preserve"> NUMPAGES  </w:instrText>
    </w:r>
    <w:r w:rsidR="0000654C">
      <w:rPr>
        <w:noProof/>
      </w:rPr>
      <w:fldChar w:fldCharType="separate"/>
    </w:r>
    <w:r w:rsidR="002A5330">
      <w:rPr>
        <w:noProof/>
      </w:rPr>
      <w:t>3</w:t>
    </w:r>
    <w:r w:rsidR="000065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83BA" w14:textId="77777777" w:rsidR="006923B1" w:rsidRDefault="006923B1" w:rsidP="002F321C">
      <w:r>
        <w:separator/>
      </w:r>
    </w:p>
  </w:footnote>
  <w:footnote w:type="continuationSeparator" w:id="0">
    <w:p w14:paraId="50571C52" w14:textId="77777777" w:rsidR="006923B1" w:rsidRDefault="006923B1" w:rsidP="002F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F3E3" w14:textId="77777777" w:rsidR="00505C1C" w:rsidRPr="006D40B2" w:rsidRDefault="00505C1C" w:rsidP="00E80C41">
    <w:pPr>
      <w:pStyle w:val="Header"/>
      <w:tabs>
        <w:tab w:val="right" w:pos="10425"/>
      </w:tabs>
      <w:jc w:val="center"/>
    </w:pPr>
    <w:r w:rsidRPr="006D40B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AE3D" w14:textId="77777777" w:rsidR="00C15423" w:rsidRDefault="00C15423" w:rsidP="006D40B2">
    <w:pPr>
      <w:pStyle w:val="Header"/>
    </w:pPr>
  </w:p>
  <w:p w14:paraId="75F0442E" w14:textId="77777777" w:rsidR="00C15423" w:rsidRDefault="00C15423" w:rsidP="006D40B2">
    <w:pPr>
      <w:pStyle w:val="Header"/>
    </w:pPr>
  </w:p>
  <w:p w14:paraId="1D7499BD" w14:textId="77777777" w:rsidR="00505C1C" w:rsidRPr="002C0DAA" w:rsidRDefault="00505C1C" w:rsidP="006D40B2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2B5FD2A" wp14:editId="1ABDD514">
          <wp:simplePos x="0" y="0"/>
          <wp:positionH relativeFrom="column">
            <wp:posOffset>-104140</wp:posOffset>
          </wp:positionH>
          <wp:positionV relativeFrom="page">
            <wp:posOffset>1371600</wp:posOffset>
          </wp:positionV>
          <wp:extent cx="10412730" cy="353060"/>
          <wp:effectExtent l="19050" t="0" r="7620" b="0"/>
          <wp:wrapNone/>
          <wp:docPr id="5" name="Picture 6" descr="FS_Top_Ba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S_Top_Bar_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73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1" layoutInCell="1" allowOverlap="1" wp14:anchorId="7FA4292B" wp14:editId="57CC63B6">
          <wp:simplePos x="0" y="0"/>
          <wp:positionH relativeFrom="column">
            <wp:posOffset>4433570</wp:posOffset>
          </wp:positionH>
          <wp:positionV relativeFrom="page">
            <wp:posOffset>327660</wp:posOffset>
          </wp:positionV>
          <wp:extent cx="2292350" cy="638175"/>
          <wp:effectExtent l="19050" t="0" r="0" b="0"/>
          <wp:wrapNone/>
          <wp:docPr id="4" name="Picture 0" descr="EA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A_logo_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74"/>
    <w:multiLevelType w:val="hybridMultilevel"/>
    <w:tmpl w:val="9CC8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9C4"/>
    <w:multiLevelType w:val="hybridMultilevel"/>
    <w:tmpl w:val="49BA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4D95"/>
    <w:multiLevelType w:val="multilevel"/>
    <w:tmpl w:val="55341758"/>
    <w:styleLink w:val="MULTILEVEL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115D4015"/>
    <w:multiLevelType w:val="multilevel"/>
    <w:tmpl w:val="22C8D930"/>
    <w:styleLink w:val="MULTILEVEL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secondheadin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A671736"/>
    <w:multiLevelType w:val="hybridMultilevel"/>
    <w:tmpl w:val="546E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576DA"/>
    <w:multiLevelType w:val="hybridMultilevel"/>
    <w:tmpl w:val="A3F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E0419"/>
    <w:multiLevelType w:val="hybridMultilevel"/>
    <w:tmpl w:val="D1149CA4"/>
    <w:lvl w:ilvl="0" w:tplc="BA84E73E">
      <w:start w:val="1"/>
      <w:numFmt w:val="decimal"/>
      <w:pStyle w:val="Bulletnumberedblu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1B74"/>
    <w:multiLevelType w:val="hybridMultilevel"/>
    <w:tmpl w:val="EAF2E62A"/>
    <w:lvl w:ilvl="0" w:tplc="0D0604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2B36"/>
    <w:multiLevelType w:val="multilevel"/>
    <w:tmpl w:val="CD5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C27951"/>
    <w:multiLevelType w:val="hybridMultilevel"/>
    <w:tmpl w:val="B412C4D0"/>
    <w:lvl w:ilvl="0" w:tplc="6D4EE2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2930"/>
    <w:multiLevelType w:val="hybridMultilevel"/>
    <w:tmpl w:val="94003C7C"/>
    <w:lvl w:ilvl="0" w:tplc="B23C3200">
      <w:start w:val="1"/>
      <w:numFmt w:val="decimal"/>
      <w:pStyle w:val="Bullet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4E80"/>
    <w:multiLevelType w:val="hybridMultilevel"/>
    <w:tmpl w:val="7C22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83583"/>
    <w:multiLevelType w:val="hybridMultilevel"/>
    <w:tmpl w:val="29700776"/>
    <w:lvl w:ilvl="0" w:tplc="336287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6DA5"/>
    <w:multiLevelType w:val="hybridMultilevel"/>
    <w:tmpl w:val="F132C182"/>
    <w:lvl w:ilvl="0" w:tplc="192633E6">
      <w:start w:val="1"/>
      <w:numFmt w:val="bullet"/>
      <w:pStyle w:val="Bulletroundblack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A9"/>
    <w:multiLevelType w:val="multilevel"/>
    <w:tmpl w:val="1A824340"/>
    <w:styleLink w:val="MULTILEVELBLU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2B54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b w:val="0"/>
        <w:i w:val="0"/>
        <w:color w:val="002B54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Arial" w:hAnsi="Arial" w:hint="default"/>
        <w:b w:val="0"/>
        <w:i w:val="0"/>
        <w:color w:val="002B54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Arial" w:hAnsi="Arial" w:hint="default"/>
        <w:b w:val="0"/>
        <w:i w:val="0"/>
        <w:color w:val="002B54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65BD3FDD"/>
    <w:multiLevelType w:val="hybridMultilevel"/>
    <w:tmpl w:val="948666F2"/>
    <w:lvl w:ilvl="0" w:tplc="F7FC15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B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37A"/>
    <w:multiLevelType w:val="hybridMultilevel"/>
    <w:tmpl w:val="EB3C1BE6"/>
    <w:lvl w:ilvl="0" w:tplc="AAAE89D4">
      <w:start w:val="1"/>
      <w:numFmt w:val="bullet"/>
      <w:pStyle w:val="Bulletroundblue"/>
      <w:lvlText w:val="•"/>
      <w:lvlJc w:val="left"/>
      <w:pPr>
        <w:ind w:left="720" w:hanging="360"/>
      </w:pPr>
      <w:rPr>
        <w:rFonts w:ascii="Arial" w:hAnsi="Arial" w:hint="default"/>
        <w:color w:val="002B5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666958">
    <w:abstractNumId w:val="2"/>
  </w:num>
  <w:num w:numId="2" w16cid:durableId="1300451525">
    <w:abstractNumId w:val="14"/>
  </w:num>
  <w:num w:numId="3" w16cid:durableId="1110203790">
    <w:abstractNumId w:val="3"/>
  </w:num>
  <w:num w:numId="4" w16cid:durableId="387992592">
    <w:abstractNumId w:val="10"/>
  </w:num>
  <w:num w:numId="5" w16cid:durableId="1658611510">
    <w:abstractNumId w:val="6"/>
  </w:num>
  <w:num w:numId="6" w16cid:durableId="1735857839">
    <w:abstractNumId w:val="9"/>
  </w:num>
  <w:num w:numId="7" w16cid:durableId="1223441535">
    <w:abstractNumId w:val="15"/>
  </w:num>
  <w:num w:numId="8" w16cid:durableId="1768849237">
    <w:abstractNumId w:val="13"/>
  </w:num>
  <w:num w:numId="9" w16cid:durableId="358433539">
    <w:abstractNumId w:val="16"/>
  </w:num>
  <w:num w:numId="10" w16cid:durableId="1762139183">
    <w:abstractNumId w:val="12"/>
  </w:num>
  <w:num w:numId="11" w16cid:durableId="2025159293">
    <w:abstractNumId w:val="7"/>
  </w:num>
  <w:num w:numId="12" w16cid:durableId="1289816445">
    <w:abstractNumId w:val="3"/>
  </w:num>
  <w:num w:numId="13" w16cid:durableId="2054033336">
    <w:abstractNumId w:val="8"/>
  </w:num>
  <w:num w:numId="14" w16cid:durableId="65618339">
    <w:abstractNumId w:val="8"/>
  </w:num>
  <w:num w:numId="15" w16cid:durableId="5162364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9276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21491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7845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53662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76189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38557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29711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66725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79864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84"/>
    <w:rsid w:val="0000580B"/>
    <w:rsid w:val="0000654C"/>
    <w:rsid w:val="00016351"/>
    <w:rsid w:val="00033AC5"/>
    <w:rsid w:val="00047AB1"/>
    <w:rsid w:val="00057AB8"/>
    <w:rsid w:val="000978E6"/>
    <w:rsid w:val="000A3749"/>
    <w:rsid w:val="000B2B4A"/>
    <w:rsid w:val="000B3411"/>
    <w:rsid w:val="000C2955"/>
    <w:rsid w:val="000C529F"/>
    <w:rsid w:val="000D7988"/>
    <w:rsid w:val="000E2786"/>
    <w:rsid w:val="000F5E0B"/>
    <w:rsid w:val="001040A7"/>
    <w:rsid w:val="00111B4F"/>
    <w:rsid w:val="001371CE"/>
    <w:rsid w:val="00155F09"/>
    <w:rsid w:val="001768FD"/>
    <w:rsid w:val="001866A5"/>
    <w:rsid w:val="001B06F9"/>
    <w:rsid w:val="001C06B6"/>
    <w:rsid w:val="001C4430"/>
    <w:rsid w:val="001C5E4F"/>
    <w:rsid w:val="001E114D"/>
    <w:rsid w:val="001E2608"/>
    <w:rsid w:val="001F0A9D"/>
    <w:rsid w:val="00207A8E"/>
    <w:rsid w:val="0021016E"/>
    <w:rsid w:val="002160DF"/>
    <w:rsid w:val="002241D5"/>
    <w:rsid w:val="002273F1"/>
    <w:rsid w:val="00231EF2"/>
    <w:rsid w:val="00234898"/>
    <w:rsid w:val="0023638A"/>
    <w:rsid w:val="002371BC"/>
    <w:rsid w:val="002636FD"/>
    <w:rsid w:val="002773D8"/>
    <w:rsid w:val="00286E70"/>
    <w:rsid w:val="002879A8"/>
    <w:rsid w:val="00296E29"/>
    <w:rsid w:val="002A12BF"/>
    <w:rsid w:val="002A5330"/>
    <w:rsid w:val="002B4ADC"/>
    <w:rsid w:val="002E741A"/>
    <w:rsid w:val="002E7FC3"/>
    <w:rsid w:val="002F1AA8"/>
    <w:rsid w:val="002F321C"/>
    <w:rsid w:val="00336645"/>
    <w:rsid w:val="00354ED9"/>
    <w:rsid w:val="0035515C"/>
    <w:rsid w:val="00357554"/>
    <w:rsid w:val="003640E6"/>
    <w:rsid w:val="00367EFB"/>
    <w:rsid w:val="00381C1F"/>
    <w:rsid w:val="00383130"/>
    <w:rsid w:val="0039735C"/>
    <w:rsid w:val="003A3FF8"/>
    <w:rsid w:val="003E67DE"/>
    <w:rsid w:val="003F3D56"/>
    <w:rsid w:val="003F4AB1"/>
    <w:rsid w:val="00413EBD"/>
    <w:rsid w:val="0044216E"/>
    <w:rsid w:val="00467180"/>
    <w:rsid w:val="00473D7F"/>
    <w:rsid w:val="0048054F"/>
    <w:rsid w:val="004B01FF"/>
    <w:rsid w:val="004B709E"/>
    <w:rsid w:val="004D1E4A"/>
    <w:rsid w:val="004D74A3"/>
    <w:rsid w:val="004F6C6A"/>
    <w:rsid w:val="00503121"/>
    <w:rsid w:val="00505C1C"/>
    <w:rsid w:val="00517CC7"/>
    <w:rsid w:val="00520B01"/>
    <w:rsid w:val="00525803"/>
    <w:rsid w:val="0052595B"/>
    <w:rsid w:val="005321C1"/>
    <w:rsid w:val="005367C8"/>
    <w:rsid w:val="00540C84"/>
    <w:rsid w:val="00551AA9"/>
    <w:rsid w:val="00551FC2"/>
    <w:rsid w:val="00574C81"/>
    <w:rsid w:val="00587B56"/>
    <w:rsid w:val="005904BB"/>
    <w:rsid w:val="005962F6"/>
    <w:rsid w:val="005A75C4"/>
    <w:rsid w:val="005B22B7"/>
    <w:rsid w:val="005D3624"/>
    <w:rsid w:val="005F5EC8"/>
    <w:rsid w:val="00610C23"/>
    <w:rsid w:val="00624D48"/>
    <w:rsid w:val="00625ECF"/>
    <w:rsid w:val="00631F7B"/>
    <w:rsid w:val="00636867"/>
    <w:rsid w:val="00636CD4"/>
    <w:rsid w:val="006379ED"/>
    <w:rsid w:val="0066193B"/>
    <w:rsid w:val="006811E7"/>
    <w:rsid w:val="006923B1"/>
    <w:rsid w:val="006A15E1"/>
    <w:rsid w:val="006D40B2"/>
    <w:rsid w:val="006D6286"/>
    <w:rsid w:val="006F1F2B"/>
    <w:rsid w:val="006F2DE9"/>
    <w:rsid w:val="006F4610"/>
    <w:rsid w:val="0070242F"/>
    <w:rsid w:val="00705B65"/>
    <w:rsid w:val="007064BB"/>
    <w:rsid w:val="00710E6C"/>
    <w:rsid w:val="00714B5F"/>
    <w:rsid w:val="00715850"/>
    <w:rsid w:val="00730642"/>
    <w:rsid w:val="00730E34"/>
    <w:rsid w:val="007411A2"/>
    <w:rsid w:val="00742FC7"/>
    <w:rsid w:val="007872DE"/>
    <w:rsid w:val="007C1588"/>
    <w:rsid w:val="0080478E"/>
    <w:rsid w:val="008052FF"/>
    <w:rsid w:val="00813A53"/>
    <w:rsid w:val="00827BED"/>
    <w:rsid w:val="0083163B"/>
    <w:rsid w:val="00833B95"/>
    <w:rsid w:val="00843D9A"/>
    <w:rsid w:val="00847575"/>
    <w:rsid w:val="00847BB3"/>
    <w:rsid w:val="00852164"/>
    <w:rsid w:val="00854800"/>
    <w:rsid w:val="00863544"/>
    <w:rsid w:val="00871BA1"/>
    <w:rsid w:val="008723BC"/>
    <w:rsid w:val="00872A71"/>
    <w:rsid w:val="00873154"/>
    <w:rsid w:val="00884E5D"/>
    <w:rsid w:val="00892F79"/>
    <w:rsid w:val="008A2FA7"/>
    <w:rsid w:val="008A535E"/>
    <w:rsid w:val="008F5627"/>
    <w:rsid w:val="00902DD7"/>
    <w:rsid w:val="00911047"/>
    <w:rsid w:val="00924EE7"/>
    <w:rsid w:val="00931297"/>
    <w:rsid w:val="0093243D"/>
    <w:rsid w:val="0095233B"/>
    <w:rsid w:val="00953FA9"/>
    <w:rsid w:val="009544F2"/>
    <w:rsid w:val="00956017"/>
    <w:rsid w:val="009570BA"/>
    <w:rsid w:val="0095778F"/>
    <w:rsid w:val="00974AE6"/>
    <w:rsid w:val="0098402A"/>
    <w:rsid w:val="009858E6"/>
    <w:rsid w:val="0099037D"/>
    <w:rsid w:val="009A5793"/>
    <w:rsid w:val="009B3116"/>
    <w:rsid w:val="009C09F9"/>
    <w:rsid w:val="009D5C6A"/>
    <w:rsid w:val="009E3565"/>
    <w:rsid w:val="00A01A93"/>
    <w:rsid w:val="00A06B3B"/>
    <w:rsid w:val="00A123B2"/>
    <w:rsid w:val="00A21E8C"/>
    <w:rsid w:val="00A23E60"/>
    <w:rsid w:val="00A4216E"/>
    <w:rsid w:val="00A50919"/>
    <w:rsid w:val="00A61CDC"/>
    <w:rsid w:val="00A71D0C"/>
    <w:rsid w:val="00A73C98"/>
    <w:rsid w:val="00A92A9E"/>
    <w:rsid w:val="00AC7054"/>
    <w:rsid w:val="00AD23FF"/>
    <w:rsid w:val="00B10312"/>
    <w:rsid w:val="00B17985"/>
    <w:rsid w:val="00B26092"/>
    <w:rsid w:val="00B26145"/>
    <w:rsid w:val="00B44C3A"/>
    <w:rsid w:val="00B511E4"/>
    <w:rsid w:val="00B53E20"/>
    <w:rsid w:val="00B6671D"/>
    <w:rsid w:val="00B82332"/>
    <w:rsid w:val="00B86202"/>
    <w:rsid w:val="00B942F7"/>
    <w:rsid w:val="00B962B7"/>
    <w:rsid w:val="00BC332A"/>
    <w:rsid w:val="00BC33E6"/>
    <w:rsid w:val="00BD03A0"/>
    <w:rsid w:val="00BD40FA"/>
    <w:rsid w:val="00BE4243"/>
    <w:rsid w:val="00BF4D11"/>
    <w:rsid w:val="00C049F5"/>
    <w:rsid w:val="00C05386"/>
    <w:rsid w:val="00C116F8"/>
    <w:rsid w:val="00C12272"/>
    <w:rsid w:val="00C15423"/>
    <w:rsid w:val="00C21983"/>
    <w:rsid w:val="00C26267"/>
    <w:rsid w:val="00C34068"/>
    <w:rsid w:val="00C4605A"/>
    <w:rsid w:val="00C55C2E"/>
    <w:rsid w:val="00C65636"/>
    <w:rsid w:val="00C91AE4"/>
    <w:rsid w:val="00CD2D15"/>
    <w:rsid w:val="00CE1CA5"/>
    <w:rsid w:val="00CF336B"/>
    <w:rsid w:val="00D02852"/>
    <w:rsid w:val="00D02CC8"/>
    <w:rsid w:val="00D04E34"/>
    <w:rsid w:val="00D15F8E"/>
    <w:rsid w:val="00D16DFB"/>
    <w:rsid w:val="00D450F4"/>
    <w:rsid w:val="00D62527"/>
    <w:rsid w:val="00D840F8"/>
    <w:rsid w:val="00D864F7"/>
    <w:rsid w:val="00DB2B82"/>
    <w:rsid w:val="00DC3D41"/>
    <w:rsid w:val="00E4293A"/>
    <w:rsid w:val="00E453A2"/>
    <w:rsid w:val="00E620B4"/>
    <w:rsid w:val="00E80C41"/>
    <w:rsid w:val="00E87762"/>
    <w:rsid w:val="00EA2D0C"/>
    <w:rsid w:val="00EA370D"/>
    <w:rsid w:val="00EB3BDF"/>
    <w:rsid w:val="00EC4C33"/>
    <w:rsid w:val="00ED1917"/>
    <w:rsid w:val="00F152A7"/>
    <w:rsid w:val="00F16089"/>
    <w:rsid w:val="00F347B0"/>
    <w:rsid w:val="00F87EEA"/>
    <w:rsid w:val="00F978D3"/>
    <w:rsid w:val="00FA521E"/>
    <w:rsid w:val="00FB1368"/>
    <w:rsid w:val="00FB21D5"/>
    <w:rsid w:val="00FB4DDA"/>
    <w:rsid w:val="00FC34E3"/>
    <w:rsid w:val="00FC74D0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CF915E"/>
  <w15:docId w15:val="{A03FAE73-C7FC-468F-865D-0A9467CB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locked="1" w:semiHidden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DC"/>
    <w:pPr>
      <w:spacing w:after="120"/>
    </w:pPr>
    <w:rPr>
      <w:rFonts w:cs="Calibri"/>
      <w:sz w:val="22"/>
      <w:szCs w:val="22"/>
    </w:rPr>
  </w:style>
  <w:style w:type="paragraph" w:styleId="Heading2">
    <w:name w:val="heading 2"/>
    <w:aliases w:val="pull quote"/>
    <w:next w:val="Normal"/>
    <w:link w:val="Heading2Char"/>
    <w:autoRedefine/>
    <w:uiPriority w:val="9"/>
    <w:semiHidden/>
    <w:qFormat/>
    <w:rsid w:val="001768FD"/>
    <w:pPr>
      <w:keepNext/>
      <w:spacing w:before="240" w:after="360"/>
      <w:ind w:left="1701" w:right="1701"/>
      <w:outlineLvl w:val="1"/>
    </w:pPr>
    <w:rPr>
      <w:rFonts w:ascii="Times New Roman" w:eastAsia="Times New Roman" w:hAnsi="Times New Roman"/>
      <w:bCs/>
      <w:iCs/>
      <w:color w:val="034B8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ull quote Char"/>
    <w:basedOn w:val="DefaultParagraphFont"/>
    <w:link w:val="Heading2"/>
    <w:uiPriority w:val="9"/>
    <w:semiHidden/>
    <w:rsid w:val="00AD23FF"/>
    <w:rPr>
      <w:rFonts w:ascii="Times New Roman" w:eastAsia="Times New Roman" w:hAnsi="Times New Roman"/>
      <w:bCs/>
      <w:iCs/>
      <w:color w:val="034B89"/>
      <w:sz w:val="28"/>
      <w:szCs w:val="28"/>
      <w:lang w:val="en-GB" w:eastAsia="en-US" w:bidi="ar-SA"/>
    </w:rPr>
  </w:style>
  <w:style w:type="paragraph" w:customStyle="1" w:styleId="Documenttitlemidblue">
    <w:name w:val="Document title (mid blue)"/>
    <w:qFormat/>
    <w:rsid w:val="001768FD"/>
    <w:pPr>
      <w:spacing w:after="100"/>
      <w:ind w:left="-170"/>
    </w:pPr>
    <w:rPr>
      <w:rFonts w:eastAsia="Times New Roman"/>
      <w:b/>
      <w:bCs/>
      <w:color w:val="034B89"/>
      <w:kern w:val="32"/>
      <w:sz w:val="48"/>
      <w:lang w:eastAsia="en-US"/>
    </w:rPr>
  </w:style>
  <w:style w:type="paragraph" w:customStyle="1" w:styleId="Documenttitledarkblue">
    <w:name w:val="Document title (dark blue)"/>
    <w:qFormat/>
    <w:rsid w:val="001768FD"/>
    <w:pPr>
      <w:spacing w:after="100"/>
      <w:ind w:left="-170"/>
    </w:pPr>
    <w:rPr>
      <w:rFonts w:eastAsia="Times New Roman"/>
      <w:b/>
      <w:bCs/>
      <w:color w:val="002B54"/>
      <w:kern w:val="32"/>
      <w:sz w:val="48"/>
      <w:lang w:eastAsia="en-US"/>
    </w:rPr>
  </w:style>
  <w:style w:type="paragraph" w:customStyle="1" w:styleId="Mainheading">
    <w:name w:val="Main heading"/>
    <w:qFormat/>
    <w:rsid w:val="00D02852"/>
    <w:pPr>
      <w:spacing w:before="360" w:after="120"/>
    </w:pPr>
    <w:rPr>
      <w:b/>
      <w:color w:val="034B89"/>
      <w:sz w:val="36"/>
      <w:szCs w:val="22"/>
      <w:lang w:eastAsia="en-US"/>
    </w:rPr>
  </w:style>
  <w:style w:type="paragraph" w:customStyle="1" w:styleId="Secondheading">
    <w:name w:val="Second heading"/>
    <w:qFormat/>
    <w:rsid w:val="005B22B7"/>
    <w:pPr>
      <w:spacing w:before="240" w:after="40"/>
    </w:pPr>
    <w:rPr>
      <w:b/>
      <w:color w:val="002B54"/>
      <w:sz w:val="32"/>
      <w:szCs w:val="22"/>
      <w:lang w:eastAsia="en-US"/>
    </w:rPr>
  </w:style>
  <w:style w:type="paragraph" w:customStyle="1" w:styleId="DocumentDescription">
    <w:name w:val="Document Description"/>
    <w:qFormat/>
    <w:rsid w:val="001768FD"/>
    <w:rPr>
      <w:b/>
      <w:color w:val="002B54"/>
      <w:sz w:val="32"/>
      <w:szCs w:val="22"/>
      <w:lang w:eastAsia="en-US"/>
    </w:rPr>
  </w:style>
  <w:style w:type="paragraph" w:customStyle="1" w:styleId="Dateorreference">
    <w:name w:val="Date or reference"/>
    <w:qFormat/>
    <w:rsid w:val="001768FD"/>
    <w:pPr>
      <w:jc w:val="right"/>
    </w:pPr>
    <w:rPr>
      <w:rFonts w:eastAsia="Times New Roman"/>
      <w:bCs/>
      <w:color w:val="002B5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40B2"/>
  </w:style>
  <w:style w:type="character" w:customStyle="1" w:styleId="HeaderChar">
    <w:name w:val="Header Char"/>
    <w:basedOn w:val="DefaultParagraphFont"/>
    <w:link w:val="Header"/>
    <w:uiPriority w:val="99"/>
    <w:rsid w:val="006D40B2"/>
  </w:style>
  <w:style w:type="paragraph" w:styleId="Footer">
    <w:name w:val="footer"/>
    <w:basedOn w:val="Normal"/>
    <w:link w:val="FooterChar"/>
    <w:uiPriority w:val="99"/>
    <w:rsid w:val="006D40B2"/>
  </w:style>
  <w:style w:type="character" w:customStyle="1" w:styleId="FooterChar">
    <w:name w:val="Footer Char"/>
    <w:basedOn w:val="DefaultParagraphFont"/>
    <w:link w:val="Footer"/>
    <w:uiPriority w:val="99"/>
    <w:rsid w:val="006D40B2"/>
  </w:style>
  <w:style w:type="paragraph" w:customStyle="1" w:styleId="Introductiontext">
    <w:name w:val="Introduction text"/>
    <w:autoRedefine/>
    <w:rsid w:val="00CF336B"/>
    <w:rPr>
      <w:rFonts w:eastAsia="Times New Roman" w:cs="Arial"/>
      <w:b/>
      <w:color w:val="002B54"/>
      <w:sz w:val="28"/>
      <w:szCs w:val="28"/>
    </w:rPr>
  </w:style>
  <w:style w:type="paragraph" w:customStyle="1" w:styleId="Pullquotedarkblue">
    <w:name w:val="Pullquote dark blue"/>
    <w:qFormat/>
    <w:rsid w:val="001768FD"/>
    <w:pPr>
      <w:spacing w:before="240" w:after="360"/>
      <w:ind w:left="1701" w:right="1701"/>
    </w:pPr>
    <w:rPr>
      <w:rFonts w:ascii="Times New Roman" w:hAnsi="Times New Roman"/>
      <w:color w:val="002B54"/>
      <w:sz w:val="32"/>
      <w:szCs w:val="22"/>
      <w:lang w:eastAsia="en-US"/>
    </w:rPr>
  </w:style>
  <w:style w:type="paragraph" w:customStyle="1" w:styleId="Pullquotemidblue">
    <w:name w:val="Pullquote mid blue"/>
    <w:qFormat/>
    <w:rsid w:val="001768FD"/>
    <w:pPr>
      <w:spacing w:before="240" w:after="360"/>
      <w:ind w:left="1701" w:right="1701"/>
    </w:pPr>
    <w:rPr>
      <w:rFonts w:ascii="Times New Roman" w:hAnsi="Times New Roman"/>
      <w:color w:val="0177BA"/>
      <w:sz w:val="32"/>
      <w:szCs w:val="22"/>
      <w:lang w:eastAsia="en-US"/>
    </w:rPr>
  </w:style>
  <w:style w:type="paragraph" w:customStyle="1" w:styleId="Maintextblack">
    <w:name w:val="Main text black"/>
    <w:basedOn w:val="Normal"/>
    <w:qFormat/>
    <w:rsid w:val="000C529F"/>
    <w:rPr>
      <w:lang w:eastAsia="en-US"/>
    </w:rPr>
  </w:style>
  <w:style w:type="paragraph" w:customStyle="1" w:styleId="Maintextblue">
    <w:name w:val="Main text blue"/>
    <w:basedOn w:val="Normal"/>
    <w:qFormat/>
    <w:rsid w:val="00D840F8"/>
    <w:rPr>
      <w:color w:val="002B54"/>
      <w:lang w:eastAsia="en-US"/>
    </w:rPr>
  </w:style>
  <w:style w:type="paragraph" w:customStyle="1" w:styleId="Bulletnumbered">
    <w:name w:val="Bullet numbered"/>
    <w:basedOn w:val="Maintextblack"/>
    <w:qFormat/>
    <w:rsid w:val="000C529F"/>
    <w:pPr>
      <w:numPr>
        <w:numId w:val="4"/>
      </w:numPr>
      <w:spacing w:after="80"/>
      <w:ind w:left="357" w:hanging="357"/>
    </w:pPr>
  </w:style>
  <w:style w:type="paragraph" w:customStyle="1" w:styleId="Bulletnumberedblue">
    <w:name w:val="Bullet numbered blue"/>
    <w:basedOn w:val="Maintextblack"/>
    <w:qFormat/>
    <w:rsid w:val="000C529F"/>
    <w:pPr>
      <w:numPr>
        <w:numId w:val="5"/>
      </w:numPr>
      <w:spacing w:after="80"/>
      <w:ind w:left="357" w:hanging="357"/>
    </w:pPr>
    <w:rPr>
      <w:color w:val="002B54"/>
    </w:rPr>
  </w:style>
  <w:style w:type="paragraph" w:customStyle="1" w:styleId="Bulletroundblack">
    <w:name w:val="Bullet round black"/>
    <w:basedOn w:val="Normal"/>
    <w:qFormat/>
    <w:rsid w:val="000C529F"/>
    <w:pPr>
      <w:numPr>
        <w:numId w:val="8"/>
      </w:numPr>
      <w:spacing w:after="80"/>
      <w:ind w:left="357" w:hanging="357"/>
    </w:pPr>
    <w:rPr>
      <w:lang w:eastAsia="en-US"/>
    </w:rPr>
  </w:style>
  <w:style w:type="paragraph" w:customStyle="1" w:styleId="Bulletroundblue">
    <w:name w:val="Bullet round blue"/>
    <w:qFormat/>
    <w:rsid w:val="000C529F"/>
    <w:pPr>
      <w:numPr>
        <w:numId w:val="9"/>
      </w:numPr>
      <w:spacing w:after="80"/>
      <w:ind w:left="357" w:hanging="357"/>
    </w:pPr>
    <w:rPr>
      <w:color w:val="002B54"/>
      <w:sz w:val="22"/>
      <w:szCs w:val="22"/>
      <w:lang w:eastAsia="en-US"/>
    </w:rPr>
  </w:style>
  <w:style w:type="character" w:customStyle="1" w:styleId="Boldtextblue">
    <w:name w:val="Bold text blue"/>
    <w:basedOn w:val="DefaultParagraphFont"/>
    <w:uiPriority w:val="1"/>
    <w:qFormat/>
    <w:rsid w:val="001768FD"/>
    <w:rPr>
      <w:b/>
      <w:color w:val="002B54"/>
    </w:rPr>
  </w:style>
  <w:style w:type="character" w:customStyle="1" w:styleId="Boldtextblack">
    <w:name w:val="Bold text black"/>
    <w:basedOn w:val="DefaultParagraphFont"/>
    <w:uiPriority w:val="1"/>
    <w:qFormat/>
    <w:rsid w:val="001768FD"/>
    <w:rPr>
      <w:b/>
    </w:rPr>
  </w:style>
  <w:style w:type="character" w:customStyle="1" w:styleId="Italicblue">
    <w:name w:val="Italic blue"/>
    <w:basedOn w:val="DefaultParagraphFont"/>
    <w:uiPriority w:val="1"/>
    <w:qFormat/>
    <w:rsid w:val="001768FD"/>
    <w:rPr>
      <w:i/>
      <w:color w:val="002B54"/>
    </w:rPr>
  </w:style>
  <w:style w:type="character" w:customStyle="1" w:styleId="Italicblack">
    <w:name w:val="Italic black"/>
    <w:basedOn w:val="DefaultParagraphFont"/>
    <w:uiPriority w:val="1"/>
    <w:qFormat/>
    <w:rsid w:val="001768FD"/>
    <w:rPr>
      <w:i/>
    </w:rPr>
  </w:style>
  <w:style w:type="character" w:customStyle="1" w:styleId="Subscript">
    <w:name w:val="Subscript"/>
    <w:basedOn w:val="DefaultParagraphFont"/>
    <w:uiPriority w:val="1"/>
    <w:qFormat/>
    <w:rsid w:val="001768FD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1768FD"/>
    <w:rPr>
      <w:vertAlign w:val="superscript"/>
    </w:rPr>
  </w:style>
  <w:style w:type="table" w:customStyle="1" w:styleId="GENERICTABLE">
    <w:name w:val="GENERIC TABLE"/>
    <w:basedOn w:val="TableNormal"/>
    <w:uiPriority w:val="99"/>
    <w:qFormat/>
    <w:locked/>
    <w:rsid w:val="0099037D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9037D"/>
    <w:rPr>
      <w:color w:val="0177BA"/>
      <w:u w:val="single"/>
    </w:rPr>
  </w:style>
  <w:style w:type="numbering" w:customStyle="1" w:styleId="MULTILEVEL">
    <w:name w:val="MULTILEVEL"/>
    <w:uiPriority w:val="99"/>
    <w:rsid w:val="0099037D"/>
    <w:pPr>
      <w:numPr>
        <w:numId w:val="1"/>
      </w:numPr>
    </w:pPr>
  </w:style>
  <w:style w:type="numbering" w:customStyle="1" w:styleId="MULTILEVELBLUE">
    <w:name w:val="MULTILEVEL (BLUE)"/>
    <w:uiPriority w:val="99"/>
    <w:rsid w:val="0099037D"/>
    <w:pPr>
      <w:numPr>
        <w:numId w:val="2"/>
      </w:numPr>
    </w:pPr>
  </w:style>
  <w:style w:type="table" w:styleId="TableGrid">
    <w:name w:val="Table Grid"/>
    <w:basedOn w:val="TableNormal"/>
    <w:uiPriority w:val="59"/>
    <w:rsid w:val="002B4ADC"/>
    <w:pPr>
      <w:ind w:left="85" w:right="85"/>
    </w:pPr>
    <w:tblPr>
      <w:tblStyleRowBandSize w:val="1"/>
      <w:tblBorders>
        <w:top w:val="single" w:sz="4" w:space="0" w:color="034B89" w:themeColor="accent1"/>
        <w:left w:val="single" w:sz="4" w:space="0" w:color="034B89" w:themeColor="accent1"/>
        <w:bottom w:val="single" w:sz="4" w:space="0" w:color="034B89" w:themeColor="accent1"/>
        <w:right w:val="single" w:sz="4" w:space="0" w:color="034B89" w:themeColor="accent1"/>
        <w:insideH w:val="single" w:sz="4" w:space="0" w:color="034B89" w:themeColor="accent1"/>
        <w:insideV w:val="single" w:sz="4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insideV w:val="single" w:sz="4" w:space="0" w:color="FFFFFF" w:themeColor="background1"/>
        </w:tcBorders>
        <w:shd w:val="clear" w:color="auto" w:fill="034B89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DCF1FA" w:themeFill="accent3" w:themeFillTint="33"/>
      </w:tcPr>
    </w:tblStylePr>
  </w:style>
  <w:style w:type="paragraph" w:customStyle="1" w:styleId="Numberedsecondheading">
    <w:name w:val="Numbered second heading"/>
    <w:qFormat/>
    <w:rsid w:val="005B22B7"/>
    <w:pPr>
      <w:numPr>
        <w:ilvl w:val="1"/>
        <w:numId w:val="12"/>
      </w:numPr>
      <w:spacing w:before="240" w:after="40"/>
    </w:pPr>
    <w:rPr>
      <w:b/>
      <w:color w:val="002B54"/>
      <w:sz w:val="32"/>
      <w:szCs w:val="22"/>
      <w:lang w:eastAsia="en-US"/>
    </w:rPr>
  </w:style>
  <w:style w:type="paragraph" w:customStyle="1" w:styleId="Numberedheading">
    <w:name w:val="Numbered heading"/>
    <w:qFormat/>
    <w:rsid w:val="005B22B7"/>
    <w:pPr>
      <w:numPr>
        <w:numId w:val="12"/>
      </w:numPr>
      <w:spacing w:before="360" w:after="120"/>
    </w:pPr>
    <w:rPr>
      <w:color w:val="034B89"/>
      <w:sz w:val="36"/>
      <w:szCs w:val="22"/>
      <w:lang w:eastAsia="en-US"/>
    </w:rPr>
  </w:style>
  <w:style w:type="numbering" w:customStyle="1" w:styleId="MULTILEVELHEADINGS">
    <w:name w:val="MULTILEVEL HEADINGS"/>
    <w:uiPriority w:val="99"/>
    <w:rsid w:val="00FD119E"/>
    <w:pPr>
      <w:numPr>
        <w:numId w:val="3"/>
      </w:numPr>
    </w:pPr>
  </w:style>
  <w:style w:type="paragraph" w:customStyle="1" w:styleId="Figureimagetitle">
    <w:name w:val="Figure / image title"/>
    <w:qFormat/>
    <w:rsid w:val="006811E7"/>
    <w:pPr>
      <w:spacing w:before="160" w:after="160"/>
    </w:pPr>
    <w:rPr>
      <w:b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locked/>
    <w:rsid w:val="00C34068"/>
    <w:pPr>
      <w:ind w:left="720"/>
    </w:pPr>
  </w:style>
  <w:style w:type="table" w:customStyle="1" w:styleId="BlankTableStyle">
    <w:name w:val="Blank Table Style"/>
    <w:basedOn w:val="TableNormal"/>
    <w:uiPriority w:val="99"/>
    <w:qFormat/>
    <w:rsid w:val="002B4ADC"/>
    <w:tblPr>
      <w:tblCellMar>
        <w:left w:w="0" w:type="dxa"/>
        <w:right w:w="0" w:type="dxa"/>
      </w:tblCellMar>
    </w:tblPr>
  </w:style>
  <w:style w:type="table" w:customStyle="1" w:styleId="TableGridGreen">
    <w:name w:val="Table Grid (Green)"/>
    <w:basedOn w:val="TableGrid"/>
    <w:uiPriority w:val="99"/>
    <w:qFormat/>
    <w:rsid w:val="002B4ADC"/>
    <w:tblPr>
      <w:tblBorders>
        <w:top w:val="single" w:sz="8" w:space="0" w:color="455A21" w:themeColor="accent4"/>
        <w:left w:val="single" w:sz="8" w:space="0" w:color="455A21" w:themeColor="accent4"/>
        <w:bottom w:val="single" w:sz="8" w:space="0" w:color="455A21" w:themeColor="accent4"/>
        <w:right w:val="single" w:sz="8" w:space="0" w:color="455A21" w:themeColor="accent4"/>
        <w:insideH w:val="single" w:sz="8" w:space="0" w:color="455A21" w:themeColor="accent4"/>
        <w:insideV w:val="single" w:sz="8" w:space="0" w:color="455A21" w:themeColor="accent4"/>
      </w:tblBorders>
    </w:tblPr>
    <w:tblStylePr w:type="firstRow"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6E942C" w:themeFill="accent6"/>
      </w:tcPr>
    </w:tblStylePr>
    <w:tblStylePr w:type="firstCol">
      <w:rPr>
        <w:b/>
      </w:rPr>
    </w:tblStylePr>
    <w:tblStylePr w:type="band2Horz">
      <w:tblPr/>
      <w:tcPr>
        <w:shd w:val="clear" w:color="auto" w:fill="E3F0CD" w:themeFill="accent6" w:themeFillTint="33"/>
      </w:tcPr>
    </w:tblStylePr>
  </w:style>
  <w:style w:type="table" w:customStyle="1" w:styleId="TableStyle1">
    <w:name w:val="Table Style 1"/>
    <w:basedOn w:val="TableNormal"/>
    <w:uiPriority w:val="99"/>
    <w:qFormat/>
    <w:rsid w:val="002B4ADC"/>
    <w:pPr>
      <w:ind w:left="85" w:right="85"/>
    </w:pPr>
    <w:rPr>
      <w:color w:val="034B89" w:themeColor="accent1"/>
    </w:rPr>
    <w:tblPr>
      <w:tblBorders>
        <w:top w:val="single" w:sz="8" w:space="0" w:color="034B89" w:themeColor="accent1"/>
        <w:bottom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</w:rPr>
      <w:tblPr/>
      <w:tcPr>
        <w:tcBorders>
          <w:bottom w:val="single" w:sz="8" w:space="0" w:color="034B89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34B89" w:themeColor="accent1"/>
        </w:tcBorders>
      </w:tcPr>
    </w:tblStylePr>
  </w:style>
  <w:style w:type="table" w:customStyle="1" w:styleId="TableStyle1Green">
    <w:name w:val="Table Style 1 (Green)"/>
    <w:basedOn w:val="TableStyle1"/>
    <w:uiPriority w:val="99"/>
    <w:qFormat/>
    <w:rsid w:val="002B4ADC"/>
    <w:rPr>
      <w:color w:val="6E942C" w:themeColor="accent6"/>
    </w:rPr>
    <w:tblPr>
      <w:tblBorders>
        <w:top w:val="single" w:sz="8" w:space="0" w:color="6E942C" w:themeColor="accent6"/>
        <w:bottom w:val="single" w:sz="4" w:space="0" w:color="6E942C" w:themeColor="accent6"/>
      </w:tblBorders>
    </w:tblPr>
    <w:tblStylePr w:type="firstRow">
      <w:rPr>
        <w:b/>
      </w:rPr>
      <w:tblPr/>
      <w:tcPr>
        <w:tcBorders>
          <w:bottom w:val="single" w:sz="4" w:space="0" w:color="6E942C" w:themeColor="accent6"/>
        </w:tcBorders>
      </w:tcPr>
    </w:tblStylePr>
    <w:tblStylePr w:type="lastRow">
      <w:rPr>
        <w:b/>
      </w:rPr>
      <w:tblPr/>
      <w:tcPr>
        <w:tcBorders>
          <w:top w:val="single" w:sz="4" w:space="0" w:color="6E942C" w:themeColor="accent6"/>
        </w:tcBorders>
      </w:tcPr>
    </w:tblStylePr>
  </w:style>
  <w:style w:type="table" w:customStyle="1" w:styleId="TableStyle2">
    <w:name w:val="Table Style 2"/>
    <w:basedOn w:val="TableNormal"/>
    <w:uiPriority w:val="99"/>
    <w:qFormat/>
    <w:rsid w:val="002B4ADC"/>
    <w:tblPr>
      <w:tblBorders>
        <w:top w:val="single" w:sz="4" w:space="0" w:color="auto"/>
        <w:bottom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TableStyle3">
    <w:name w:val="Table Style 3"/>
    <w:basedOn w:val="TableNormal"/>
    <w:uiPriority w:val="99"/>
    <w:qFormat/>
    <w:rsid w:val="002B4ADC"/>
    <w:pPr>
      <w:ind w:left="85" w:right="85"/>
      <w:jc w:val="right"/>
    </w:pPr>
    <w:rPr>
      <w:color w:val="000000" w:themeColor="text1"/>
    </w:rPr>
    <w:tblPr>
      <w:tblBorders>
        <w:top w:val="single" w:sz="8" w:space="0" w:color="034B89" w:themeColor="accent1"/>
        <w:left w:val="single" w:sz="8" w:space="0" w:color="034B89" w:themeColor="accent1"/>
        <w:bottom w:val="single" w:sz="8" w:space="0" w:color="034B89" w:themeColor="accent1"/>
        <w:right w:val="single" w:sz="8" w:space="0" w:color="034B89" w:themeColor="accent1"/>
        <w:insideH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34B89" w:themeFill="accent1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Style3Green">
    <w:name w:val="Table Style 3 (Green)"/>
    <w:basedOn w:val="TableStyle3"/>
    <w:uiPriority w:val="99"/>
    <w:qFormat/>
    <w:rsid w:val="002B4ADC"/>
    <w:tblPr>
      <w:tblStyleRowBandSize w:val="1"/>
      <w:tblBorders>
        <w:top w:val="single" w:sz="8" w:space="0" w:color="6E942C" w:themeColor="accent6"/>
        <w:left w:val="single" w:sz="8" w:space="0" w:color="6E942C" w:themeColor="accent6"/>
        <w:bottom w:val="single" w:sz="8" w:space="0" w:color="6E942C" w:themeColor="accent6"/>
        <w:right w:val="single" w:sz="8" w:space="0" w:color="6E942C" w:themeColor="accent6"/>
        <w:insideH w:val="single" w:sz="8" w:space="0" w:color="6E942C" w:themeColor="accent6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6E942C" w:themeFill="accent6"/>
      </w:tcPr>
    </w:tblStylePr>
    <w:tblStylePr w:type="firstCol">
      <w:pPr>
        <w:wordWrap/>
        <w:jc w:val="left"/>
      </w:pPr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table" w:customStyle="1" w:styleId="TableStyle4">
    <w:name w:val="Table Style 4"/>
    <w:basedOn w:val="TableNormal"/>
    <w:uiPriority w:val="99"/>
    <w:qFormat/>
    <w:rsid w:val="002B4ADC"/>
    <w:pPr>
      <w:ind w:left="85" w:right="85"/>
    </w:pPr>
    <w:tblPr>
      <w:tblBorders>
        <w:top w:val="single" w:sz="8" w:space="0" w:color="034B89" w:themeColor="accent1"/>
        <w:left w:val="single" w:sz="8" w:space="0" w:color="034B89" w:themeColor="accent1"/>
        <w:bottom w:val="single" w:sz="8" w:space="0" w:color="034B89" w:themeColor="accent1"/>
        <w:right w:val="single" w:sz="8" w:space="0" w:color="034B89" w:themeColor="accent1"/>
        <w:insideH w:val="single" w:sz="8" w:space="0" w:color="034B89" w:themeColor="accent1"/>
        <w:insideV w:val="single" w:sz="8" w:space="0" w:color="034B89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34B89" w:themeFill="accent1"/>
      </w:tcPr>
    </w:tblStylePr>
    <w:tblStylePr w:type="firstCol">
      <w:rPr>
        <w:b/>
      </w:rPr>
    </w:tblStylePr>
  </w:style>
  <w:style w:type="table" w:customStyle="1" w:styleId="TableStyle4Green">
    <w:name w:val="Table Style 4 (Green)"/>
    <w:basedOn w:val="TableStyle4"/>
    <w:uiPriority w:val="99"/>
    <w:qFormat/>
    <w:rsid w:val="002B4ADC"/>
    <w:tblPr>
      <w:tblStyleRowBandSize w:val="1"/>
      <w:tblBorders>
        <w:top w:val="single" w:sz="8" w:space="0" w:color="6E942C" w:themeColor="accent6"/>
        <w:left w:val="single" w:sz="8" w:space="0" w:color="6E942C" w:themeColor="accent6"/>
        <w:bottom w:val="single" w:sz="8" w:space="0" w:color="6E942C" w:themeColor="accent6"/>
        <w:right w:val="single" w:sz="8" w:space="0" w:color="6E942C" w:themeColor="accent6"/>
        <w:insideH w:val="single" w:sz="8" w:space="0" w:color="6E942C" w:themeColor="accent6"/>
        <w:insideV w:val="single" w:sz="8" w:space="0" w:color="6E942C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6E942C" w:themeFill="accent6"/>
      </w:tcPr>
    </w:tblStylePr>
    <w:tblStylePr w:type="firstCol">
      <w:rPr>
        <w:b/>
      </w:rPr>
    </w:tblStylePr>
    <w:tblStylePr w:type="band1Horz">
      <w:pPr>
        <w:wordWrap/>
        <w:ind w:leftChars="0" w:left="85" w:rightChars="0" w:right="85"/>
      </w:pPr>
    </w:tblStylePr>
  </w:style>
  <w:style w:type="paragraph" w:customStyle="1" w:styleId="Thirdheading">
    <w:name w:val="Third heading"/>
    <w:qFormat/>
    <w:rsid w:val="00CF336B"/>
    <w:pPr>
      <w:spacing w:before="120" w:after="40"/>
    </w:pPr>
    <w:rPr>
      <w:b/>
      <w:color w:val="002B54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34E3"/>
    <w:rPr>
      <w:color w:val="B2C326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3E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3E6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3E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3E6"/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k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si/2015/595/article/2/m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guidance.planningportal.gov.uk/blog/guidance/flood-risk-and-coastal-change/flood-zone-and-flood-risk-tables/table-1-flood-zon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uk/flood-risk-assessment-local-planning-author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flood-risk-and-coastal-change/what-is-meant-by-minor-development-in-relation-to-flood-ris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vironment Agency">
      <a:dk1>
        <a:srgbClr val="000000"/>
      </a:dk1>
      <a:lt1>
        <a:srgbClr val="FFFFFF"/>
      </a:lt1>
      <a:dk2>
        <a:srgbClr val="820053"/>
      </a:dk2>
      <a:lt2>
        <a:srgbClr val="D95F15"/>
      </a:lt2>
      <a:accent1>
        <a:srgbClr val="034B89"/>
      </a:accent1>
      <a:accent2>
        <a:srgbClr val="B2C326"/>
      </a:accent2>
      <a:accent3>
        <a:srgbClr val="54BCE7"/>
      </a:accent3>
      <a:accent4>
        <a:srgbClr val="455A21"/>
      </a:accent4>
      <a:accent5>
        <a:srgbClr val="0177BA"/>
      </a:accent5>
      <a:accent6>
        <a:srgbClr val="6E942C"/>
      </a:accent6>
      <a:hlink>
        <a:srgbClr val="034B89"/>
      </a:hlink>
      <a:folHlink>
        <a:srgbClr val="B2C326"/>
      </a:folHlink>
    </a:clrScheme>
    <a:fontScheme name="Environment Agenc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5F81-E8DA-4A30-9648-E1EFBD9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399_13_SD01 Blue one column template</vt:lpstr>
    </vt:vector>
  </TitlesOfParts>
  <Company>Environment Agency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399_13_SD01 Blue one column template</dc:title>
  <dc:creator>sholloway</dc:creator>
  <cp:keywords>399_13_SD01, 399_13, 399-13-SD01, 399 13 SD01, 39913SD01, 399_13_sd01, 399-13-sd01, 39913sd01, 399 13 sd01</cp:keywords>
  <dc:description>399_13_SD01, version 3
Issued 23.03.2015</dc:description>
  <cp:lastModifiedBy>David Elmore</cp:lastModifiedBy>
  <cp:revision>2</cp:revision>
  <cp:lastPrinted>2021-03-31T09:47:00Z</cp:lastPrinted>
  <dcterms:created xsi:type="dcterms:W3CDTF">2023-12-18T23:12:00Z</dcterms:created>
  <dcterms:modified xsi:type="dcterms:W3CDTF">2023-12-18T23:12:00Z</dcterms:modified>
</cp:coreProperties>
</file>