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A605" w14:textId="77777777" w:rsidR="00F416A8" w:rsidRPr="00F416A8" w:rsidRDefault="00F416A8" w:rsidP="00C1713F">
      <w:pPr>
        <w:pStyle w:val="Title"/>
        <w:ind w:left="1440" w:hanging="1440"/>
        <w:rPr>
          <w:sz w:val="22"/>
          <w:szCs w:val="22"/>
          <w:lang w:val="en-GB"/>
        </w:rPr>
      </w:pPr>
    </w:p>
    <w:p w14:paraId="512DF25F" w14:textId="77777777" w:rsidR="00F416A8" w:rsidRPr="00F416A8" w:rsidRDefault="00F416A8" w:rsidP="00C9563E">
      <w:pPr>
        <w:pStyle w:val="Title"/>
        <w:ind w:left="1440" w:firstLine="720"/>
        <w:jc w:val="left"/>
        <w:rPr>
          <w:sz w:val="22"/>
          <w:szCs w:val="22"/>
          <w:lang w:val="en-GB"/>
        </w:rPr>
      </w:pPr>
    </w:p>
    <w:p w14:paraId="6AB7F735" w14:textId="77777777" w:rsidR="00F416A8" w:rsidRPr="00F416A8" w:rsidRDefault="00F416A8" w:rsidP="00077E02">
      <w:pPr>
        <w:pStyle w:val="Title"/>
        <w:rPr>
          <w:sz w:val="22"/>
          <w:szCs w:val="22"/>
          <w:lang w:val="en-GB"/>
        </w:rPr>
      </w:pPr>
      <w:r w:rsidRPr="00F416A8">
        <w:rPr>
          <w:sz w:val="22"/>
          <w:szCs w:val="22"/>
          <w:lang w:val="en-GB"/>
        </w:rPr>
        <w:t>WELWYN HATFIELD BOROUGH COUNCIL</w:t>
      </w:r>
    </w:p>
    <w:p w14:paraId="2E939E25" w14:textId="77777777" w:rsidR="00F416A8" w:rsidRPr="00F416A8" w:rsidRDefault="00F416A8" w:rsidP="00C9563E">
      <w:pPr>
        <w:pStyle w:val="Subtitle"/>
        <w:jc w:val="center"/>
        <w:rPr>
          <w:sz w:val="22"/>
          <w:szCs w:val="22"/>
          <w:lang w:val="en-GB"/>
        </w:rPr>
      </w:pPr>
      <w:r w:rsidRPr="00F416A8">
        <w:rPr>
          <w:sz w:val="22"/>
          <w:szCs w:val="22"/>
          <w:lang w:val="en-GB"/>
        </w:rPr>
        <w:t>EXECUTIVE DIRECTOR - PLANNING, PUBLIC PROTECTION AND GOVERNANCE</w:t>
      </w:r>
    </w:p>
    <w:p w14:paraId="7026CEE0" w14:textId="77777777" w:rsidR="00F416A8" w:rsidRPr="00F416A8" w:rsidRDefault="00F416A8" w:rsidP="00C9563E">
      <w:pPr>
        <w:jc w:val="center"/>
        <w:rPr>
          <w:rFonts w:cs="Arial"/>
          <w:b/>
          <w:bCs/>
          <w:szCs w:val="22"/>
        </w:rPr>
      </w:pPr>
    </w:p>
    <w:p w14:paraId="1BDB549F" w14:textId="77777777" w:rsidR="00F416A8" w:rsidRPr="00F416A8" w:rsidRDefault="00F416A8" w:rsidP="00C9563E">
      <w:pPr>
        <w:pStyle w:val="Heading7"/>
        <w:rPr>
          <w:sz w:val="22"/>
          <w:szCs w:val="22"/>
          <w:lang w:val="en-GB"/>
        </w:rPr>
      </w:pPr>
      <w:r w:rsidRPr="00F416A8">
        <w:rPr>
          <w:sz w:val="22"/>
          <w:szCs w:val="22"/>
          <w:lang w:val="en-GB"/>
        </w:rPr>
        <w:t>DELEGATED APPLICATION</w:t>
      </w:r>
    </w:p>
    <w:p w14:paraId="484A2B4E" w14:textId="77777777" w:rsidR="00F416A8" w:rsidRPr="00F416A8" w:rsidRDefault="00F416A8" w:rsidP="00C9563E">
      <w:pPr>
        <w:rPr>
          <w:rFonts w:cs="Arial"/>
          <w:szCs w:val="22"/>
        </w:rPr>
      </w:pPr>
    </w:p>
    <w:p w14:paraId="606C3D7B" w14:textId="77777777" w:rsidR="00F416A8" w:rsidRPr="00F416A8" w:rsidRDefault="00F416A8" w:rsidP="00C9563E">
      <w:pPr>
        <w:rPr>
          <w:rFonts w:cs="Arial"/>
          <w:szCs w:val="22"/>
        </w:rPr>
      </w:pPr>
    </w:p>
    <w:p w14:paraId="337F71F9" w14:textId="77777777" w:rsidR="00F416A8" w:rsidRPr="00F416A8" w:rsidRDefault="00F416A8"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F416A8">
        <w:rPr>
          <w:rFonts w:cs="Arial"/>
          <w:b/>
          <w:bCs/>
          <w:szCs w:val="22"/>
        </w:rPr>
        <w:t>Application No:</w:t>
      </w:r>
      <w:r w:rsidRPr="00F416A8">
        <w:rPr>
          <w:rFonts w:cs="Arial"/>
          <w:b/>
          <w:bCs/>
          <w:szCs w:val="22"/>
        </w:rPr>
        <w:tab/>
      </w:r>
      <w:r w:rsidRPr="00F416A8">
        <w:rPr>
          <w:rFonts w:cs="Arial"/>
          <w:b/>
          <w:bCs/>
          <w:szCs w:val="22"/>
        </w:rPr>
        <w:tab/>
      </w:r>
      <w:r w:rsidRPr="00F416A8">
        <w:rPr>
          <w:rFonts w:cs="Arial"/>
          <w:szCs w:val="22"/>
        </w:rPr>
        <w:t>6/2021/1643/HOUSE</w:t>
      </w:r>
    </w:p>
    <w:p w14:paraId="3B443294" w14:textId="77777777" w:rsidR="00F416A8" w:rsidRPr="00F416A8" w:rsidRDefault="00F416A8" w:rsidP="00F00CFD">
      <w:pPr>
        <w:ind w:left="1800" w:hanging="1800"/>
        <w:rPr>
          <w:rFonts w:cs="Arial"/>
          <w:bCs/>
          <w:szCs w:val="22"/>
        </w:rPr>
      </w:pPr>
      <w:r w:rsidRPr="00F416A8">
        <w:rPr>
          <w:rFonts w:cs="Arial"/>
          <w:b/>
          <w:bCs/>
          <w:szCs w:val="22"/>
        </w:rPr>
        <w:t>Location:</w:t>
      </w:r>
      <w:r w:rsidRPr="00F416A8">
        <w:rPr>
          <w:rFonts w:cs="Arial"/>
          <w:b/>
          <w:bCs/>
          <w:szCs w:val="22"/>
        </w:rPr>
        <w:tab/>
      </w:r>
      <w:r w:rsidRPr="00F416A8">
        <w:rPr>
          <w:rFonts w:cs="Arial"/>
          <w:b/>
          <w:bCs/>
          <w:szCs w:val="22"/>
        </w:rPr>
        <w:tab/>
      </w:r>
      <w:r w:rsidRPr="00F416A8">
        <w:rPr>
          <w:rFonts w:cs="Arial"/>
          <w:bCs/>
          <w:szCs w:val="22"/>
        </w:rPr>
        <w:t>159 Parkway Welwyn Garden City AL8 6JA</w:t>
      </w:r>
    </w:p>
    <w:p w14:paraId="4255186E" w14:textId="771656CE" w:rsidR="00F416A8" w:rsidRPr="00F416A8" w:rsidRDefault="00F416A8" w:rsidP="00B11C4A">
      <w:pPr>
        <w:ind w:left="2160" w:hanging="2160"/>
        <w:rPr>
          <w:rFonts w:cs="Arial"/>
          <w:szCs w:val="22"/>
        </w:rPr>
      </w:pPr>
      <w:r w:rsidRPr="00F416A8">
        <w:rPr>
          <w:rFonts w:cs="Arial"/>
          <w:b/>
          <w:bCs/>
          <w:szCs w:val="22"/>
        </w:rPr>
        <w:t>Proposal:</w:t>
      </w:r>
      <w:r w:rsidRPr="00F416A8">
        <w:rPr>
          <w:rFonts w:cs="Arial"/>
          <w:szCs w:val="22"/>
        </w:rPr>
        <w:tab/>
        <w:t>Construction of 2 x rear dormers and 2 x front roof lights to facilitate the conversion of the loft to a habitable space</w:t>
      </w:r>
    </w:p>
    <w:p w14:paraId="5597046F" w14:textId="77777777" w:rsidR="00F416A8" w:rsidRPr="00F416A8" w:rsidRDefault="00F416A8" w:rsidP="00C9563E">
      <w:pPr>
        <w:ind w:left="1800" w:hanging="1800"/>
        <w:rPr>
          <w:rFonts w:cs="Arial"/>
          <w:szCs w:val="22"/>
        </w:rPr>
      </w:pPr>
      <w:r w:rsidRPr="00F416A8">
        <w:rPr>
          <w:rFonts w:cs="Arial"/>
          <w:b/>
          <w:bCs/>
          <w:szCs w:val="22"/>
        </w:rPr>
        <w:t>Officer:</w:t>
      </w:r>
      <w:r w:rsidRPr="00F416A8">
        <w:rPr>
          <w:rFonts w:cs="Arial"/>
          <w:szCs w:val="22"/>
        </w:rPr>
        <w:t xml:space="preserve">  </w:t>
      </w:r>
      <w:r w:rsidRPr="00F416A8">
        <w:rPr>
          <w:rFonts w:cs="Arial"/>
          <w:szCs w:val="22"/>
        </w:rPr>
        <w:tab/>
      </w:r>
      <w:r w:rsidRPr="00F416A8">
        <w:rPr>
          <w:rFonts w:cs="Arial"/>
          <w:szCs w:val="22"/>
        </w:rPr>
        <w:tab/>
        <w:t>Ms Emily Stainer</w:t>
      </w:r>
    </w:p>
    <w:p w14:paraId="1D91F350" w14:textId="77777777" w:rsidR="00F416A8" w:rsidRPr="00F416A8" w:rsidRDefault="00F416A8" w:rsidP="00C9563E">
      <w:pPr>
        <w:rPr>
          <w:rFonts w:cs="Arial"/>
          <w:szCs w:val="22"/>
        </w:rPr>
      </w:pPr>
    </w:p>
    <w:p w14:paraId="03300781" w14:textId="77777777" w:rsidR="00F416A8" w:rsidRPr="00F416A8" w:rsidRDefault="00F416A8" w:rsidP="002F6B5A">
      <w:pPr>
        <w:pStyle w:val="Heading1"/>
        <w:rPr>
          <w:rFonts w:cs="Arial"/>
          <w:sz w:val="22"/>
          <w:szCs w:val="22"/>
          <w:u w:val="none"/>
          <w:lang w:val="en-GB"/>
        </w:rPr>
      </w:pPr>
      <w:r w:rsidRPr="00F416A8">
        <w:rPr>
          <w:b/>
          <w:bCs/>
          <w:sz w:val="22"/>
          <w:szCs w:val="22"/>
          <w:lang w:val="en-GB"/>
        </w:rPr>
        <w:t>Recommendation</w:t>
      </w:r>
      <w:r w:rsidRPr="00F416A8">
        <w:rPr>
          <w:b/>
          <w:bCs/>
          <w:sz w:val="22"/>
          <w:szCs w:val="22"/>
          <w:u w:val="none"/>
          <w:lang w:val="en-GB"/>
        </w:rPr>
        <w:t>:</w:t>
      </w:r>
      <w:r w:rsidRPr="00F416A8">
        <w:rPr>
          <w:b/>
          <w:bCs/>
          <w:sz w:val="22"/>
          <w:szCs w:val="22"/>
          <w:u w:val="none"/>
          <w:lang w:val="en-GB"/>
        </w:rPr>
        <w:tab/>
      </w:r>
      <w:r w:rsidRPr="00F416A8">
        <w:rPr>
          <w:sz w:val="22"/>
          <w:szCs w:val="22"/>
          <w:lang w:val="en-GB"/>
        </w:rPr>
        <w:t>Refused</w:t>
      </w:r>
    </w:p>
    <w:p w14:paraId="649C7F42" w14:textId="77777777" w:rsidR="00F416A8" w:rsidRPr="00F416A8" w:rsidRDefault="00F416A8" w:rsidP="00C9563E">
      <w:pPr>
        <w:rPr>
          <w:rFonts w:cs="Arial"/>
          <w:szCs w:val="22"/>
        </w:rPr>
      </w:pPr>
    </w:p>
    <w:p w14:paraId="400DCD53" w14:textId="77777777" w:rsidR="00F416A8" w:rsidRPr="00F416A8" w:rsidRDefault="00F416A8" w:rsidP="00F416A8">
      <w:pPr>
        <w:rPr>
          <w:rFonts w:cs="Arial"/>
          <w:szCs w:val="22"/>
          <w:lang w:eastAsia="en-GB"/>
        </w:rPr>
      </w:pPr>
      <w:r w:rsidRPr="00F416A8">
        <w:rPr>
          <w:rFonts w:cs="Arial"/>
          <w:szCs w:val="22"/>
          <w:lang w:eastAsia="en-GB"/>
        </w:rPr>
        <w:t>6/2021/1643/HOUSE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30"/>
        <w:gridCol w:w="2519"/>
        <w:gridCol w:w="2694"/>
        <w:gridCol w:w="2693"/>
      </w:tblGrid>
      <w:tr w:rsidR="00F416A8" w:rsidRPr="00F416A8" w14:paraId="240DE8F0" w14:textId="77777777" w:rsidTr="00E63CDD">
        <w:tc>
          <w:tcPr>
            <w:tcW w:w="10031" w:type="dxa"/>
            <w:gridSpan w:val="7"/>
            <w:shd w:val="clear" w:color="auto" w:fill="F2F2F2"/>
          </w:tcPr>
          <w:p w14:paraId="6C8ACE01" w14:textId="77777777" w:rsidR="00F416A8" w:rsidRPr="00F416A8" w:rsidRDefault="00F416A8" w:rsidP="00F416A8">
            <w:pPr>
              <w:rPr>
                <w:rFonts w:cs="Arial"/>
                <w:b/>
                <w:szCs w:val="22"/>
                <w:lang w:eastAsia="en-GB"/>
              </w:rPr>
            </w:pPr>
            <w:r w:rsidRPr="00F416A8">
              <w:rPr>
                <w:rFonts w:cs="Arial"/>
                <w:b/>
                <w:szCs w:val="22"/>
                <w:lang w:eastAsia="en-GB"/>
              </w:rPr>
              <w:t>Context</w:t>
            </w:r>
          </w:p>
        </w:tc>
      </w:tr>
      <w:tr w:rsidR="00F416A8" w:rsidRPr="00F416A8" w14:paraId="22EADC96" w14:textId="77777777" w:rsidTr="00E63CDD">
        <w:tc>
          <w:tcPr>
            <w:tcW w:w="2069" w:type="dxa"/>
          </w:tcPr>
          <w:p w14:paraId="44ADFA4E" w14:textId="77777777" w:rsidR="00F416A8" w:rsidRPr="00F416A8" w:rsidRDefault="00F416A8" w:rsidP="00F416A8">
            <w:pPr>
              <w:rPr>
                <w:rFonts w:cs="Arial"/>
                <w:b/>
                <w:szCs w:val="22"/>
                <w:lang w:eastAsia="en-GB"/>
              </w:rPr>
            </w:pPr>
            <w:r w:rsidRPr="00F416A8">
              <w:rPr>
                <w:rFonts w:cs="Arial"/>
                <w:b/>
                <w:szCs w:val="22"/>
                <w:lang w:eastAsia="en-GB"/>
              </w:rPr>
              <w:t>Site and Application description</w:t>
            </w:r>
          </w:p>
        </w:tc>
        <w:tc>
          <w:tcPr>
            <w:tcW w:w="7962" w:type="dxa"/>
            <w:gridSpan w:val="6"/>
          </w:tcPr>
          <w:p w14:paraId="6168683D"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The application property is a </w:t>
            </w:r>
            <w:proofErr w:type="gramStart"/>
            <w:r w:rsidRPr="00F416A8">
              <w:rPr>
                <w:rFonts w:cs="Arial"/>
                <w:szCs w:val="22"/>
                <w:lang w:eastAsia="en-GB"/>
              </w:rPr>
              <w:t>two storey</w:t>
            </w:r>
            <w:proofErr w:type="gramEnd"/>
            <w:r w:rsidRPr="00F416A8">
              <w:rPr>
                <w:rFonts w:cs="Arial"/>
                <w:szCs w:val="22"/>
                <w:lang w:eastAsia="en-GB"/>
              </w:rPr>
              <w:t xml:space="preserve"> terraced dwelling which is located on Parkway in Welwyn Garden City. Planning permission is sought for the construction of 2 x rear dormers and 2 x front roof lights to facilitate the conversion of the loft to a habitable space. </w:t>
            </w:r>
          </w:p>
          <w:p w14:paraId="7D73C732" w14:textId="77777777" w:rsidR="00F416A8" w:rsidRPr="00F416A8" w:rsidRDefault="00F416A8" w:rsidP="00F416A8">
            <w:pPr>
              <w:autoSpaceDE w:val="0"/>
              <w:autoSpaceDN w:val="0"/>
              <w:adjustRightInd w:val="0"/>
              <w:rPr>
                <w:rFonts w:cs="Arial"/>
                <w:szCs w:val="22"/>
                <w:lang w:eastAsia="en-GB"/>
              </w:rPr>
            </w:pPr>
          </w:p>
          <w:p w14:paraId="5DADBD9A"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A site visit was made by the case officer, but only from public vantage points due to the restrictions in place </w:t>
            </w:r>
            <w:proofErr w:type="gramStart"/>
            <w:r w:rsidRPr="00F416A8">
              <w:rPr>
                <w:rFonts w:cs="Arial"/>
                <w:szCs w:val="22"/>
                <w:lang w:eastAsia="en-GB"/>
              </w:rPr>
              <w:t>as a result of</w:t>
            </w:r>
            <w:proofErr w:type="gramEnd"/>
            <w:r w:rsidRPr="00F416A8">
              <w:rPr>
                <w:rFonts w:cs="Arial"/>
                <w:szCs w:val="22"/>
                <w:lang w:eastAsia="en-GB"/>
              </w:rPr>
              <w:t xml:space="preserve"> the Coronavirus pandemic (COVID-19). A suitable level of information has been acquired in which to make a full and thorough assessment by use of the case officer’s photographs taken from the street scene and aerial imagery online. The specific </w:t>
            </w:r>
            <w:proofErr w:type="gramStart"/>
            <w:r w:rsidRPr="00F416A8">
              <w:rPr>
                <w:rFonts w:cs="Arial"/>
                <w:szCs w:val="22"/>
                <w:lang w:eastAsia="en-GB"/>
              </w:rPr>
              <w:t>merits</w:t>
            </w:r>
            <w:proofErr w:type="gramEnd"/>
            <w:r w:rsidRPr="00F416A8">
              <w:rPr>
                <w:rFonts w:cs="Arial"/>
                <w:szCs w:val="22"/>
                <w:lang w:eastAsia="en-GB"/>
              </w:rPr>
              <w:t xml:space="preserve"> of this case means that a full and complete assessment can be made in respect of this particular application.</w:t>
            </w:r>
          </w:p>
          <w:p w14:paraId="6D4FA146" w14:textId="77777777" w:rsidR="00F416A8" w:rsidRPr="00F416A8" w:rsidRDefault="00F416A8" w:rsidP="00F416A8">
            <w:pPr>
              <w:spacing w:after="120"/>
              <w:rPr>
                <w:rFonts w:cs="Arial"/>
                <w:szCs w:val="22"/>
                <w:lang w:eastAsia="en-GB"/>
              </w:rPr>
            </w:pPr>
          </w:p>
        </w:tc>
      </w:tr>
      <w:tr w:rsidR="00F416A8" w:rsidRPr="00F416A8" w14:paraId="6223D63C" w14:textId="77777777" w:rsidTr="00E63CDD">
        <w:tc>
          <w:tcPr>
            <w:tcW w:w="2069" w:type="dxa"/>
          </w:tcPr>
          <w:p w14:paraId="271D3E89" w14:textId="77777777" w:rsidR="00F416A8" w:rsidRPr="00F416A8" w:rsidRDefault="00F416A8" w:rsidP="00F416A8">
            <w:pPr>
              <w:rPr>
                <w:rFonts w:cs="Arial"/>
                <w:b/>
                <w:szCs w:val="22"/>
                <w:lang w:eastAsia="en-GB"/>
              </w:rPr>
            </w:pPr>
            <w:r w:rsidRPr="00F416A8">
              <w:rPr>
                <w:rFonts w:cs="Arial"/>
                <w:b/>
                <w:szCs w:val="22"/>
                <w:lang w:eastAsia="en-GB"/>
              </w:rPr>
              <w:t>Constraints (as defined within WHDP 2005)</w:t>
            </w:r>
          </w:p>
        </w:tc>
        <w:tc>
          <w:tcPr>
            <w:tcW w:w="7962" w:type="dxa"/>
            <w:gridSpan w:val="6"/>
          </w:tcPr>
          <w:p w14:paraId="27F4D1A8" w14:textId="77777777" w:rsidR="00F416A8" w:rsidRPr="00F416A8" w:rsidRDefault="00F416A8" w:rsidP="00F416A8">
            <w:pPr>
              <w:spacing w:after="120"/>
              <w:rPr>
                <w:rFonts w:cs="Arial"/>
                <w:szCs w:val="22"/>
              </w:rPr>
            </w:pPr>
            <w:r w:rsidRPr="00F416A8">
              <w:rPr>
                <w:rFonts w:cs="Arial"/>
                <w:szCs w:val="22"/>
              </w:rPr>
              <w:t>CA - Conservation Area: WGC1; - Distance: 0</w:t>
            </w:r>
          </w:p>
          <w:p w14:paraId="761BE33C" w14:textId="77777777" w:rsidR="00F416A8" w:rsidRPr="00F416A8" w:rsidRDefault="00F416A8" w:rsidP="00F416A8">
            <w:pPr>
              <w:spacing w:after="120"/>
              <w:rPr>
                <w:rFonts w:cs="Arial"/>
                <w:szCs w:val="22"/>
              </w:rPr>
            </w:pPr>
            <w:r w:rsidRPr="00F416A8">
              <w:rPr>
                <w:rFonts w:cs="Arial"/>
                <w:szCs w:val="22"/>
              </w:rPr>
              <w:t>EM - Estate Management - Distance: 0</w:t>
            </w:r>
          </w:p>
          <w:p w14:paraId="26E96065" w14:textId="77777777" w:rsidR="00F416A8" w:rsidRPr="00F416A8" w:rsidRDefault="00F416A8" w:rsidP="00F416A8">
            <w:pPr>
              <w:spacing w:after="120"/>
              <w:rPr>
                <w:rFonts w:cs="Arial"/>
                <w:szCs w:val="22"/>
              </w:rPr>
            </w:pPr>
            <w:r w:rsidRPr="00F416A8">
              <w:rPr>
                <w:rFonts w:cs="Arial"/>
                <w:szCs w:val="22"/>
              </w:rPr>
              <w:t xml:space="preserve">Wards - </w:t>
            </w:r>
            <w:proofErr w:type="spellStart"/>
            <w:r w:rsidRPr="00F416A8">
              <w:rPr>
                <w:rFonts w:cs="Arial"/>
                <w:szCs w:val="22"/>
              </w:rPr>
              <w:t>Handside</w:t>
            </w:r>
            <w:proofErr w:type="spellEnd"/>
            <w:r w:rsidRPr="00F416A8">
              <w:rPr>
                <w:rFonts w:cs="Arial"/>
                <w:szCs w:val="22"/>
              </w:rPr>
              <w:t xml:space="preserve"> - Distance: 0</w:t>
            </w:r>
          </w:p>
        </w:tc>
      </w:tr>
      <w:tr w:rsidR="00F416A8" w:rsidRPr="00F416A8" w14:paraId="158F66BD" w14:textId="77777777" w:rsidTr="00E63CDD">
        <w:tc>
          <w:tcPr>
            <w:tcW w:w="2069" w:type="dxa"/>
          </w:tcPr>
          <w:p w14:paraId="13DEA9F2" w14:textId="77777777" w:rsidR="00F416A8" w:rsidRPr="00F416A8" w:rsidRDefault="00F416A8" w:rsidP="00F416A8">
            <w:pPr>
              <w:rPr>
                <w:rFonts w:cs="Arial"/>
                <w:b/>
                <w:szCs w:val="22"/>
                <w:lang w:eastAsia="en-GB"/>
              </w:rPr>
            </w:pPr>
            <w:r w:rsidRPr="00F416A8">
              <w:rPr>
                <w:rFonts w:cs="Arial"/>
                <w:b/>
                <w:szCs w:val="22"/>
                <w:lang w:eastAsia="en-GB"/>
              </w:rPr>
              <w:t>Relevant planning history</w:t>
            </w:r>
          </w:p>
        </w:tc>
        <w:tc>
          <w:tcPr>
            <w:tcW w:w="7962" w:type="dxa"/>
            <w:gridSpan w:val="6"/>
          </w:tcPr>
          <w:p w14:paraId="602A5CD6" w14:textId="77777777" w:rsidR="00F416A8" w:rsidRPr="00F416A8" w:rsidRDefault="00F416A8" w:rsidP="00F416A8">
            <w:pPr>
              <w:spacing w:after="120"/>
              <w:rPr>
                <w:rFonts w:cs="Arial"/>
                <w:szCs w:val="22"/>
                <w:lang w:eastAsia="en-GB"/>
              </w:rPr>
            </w:pPr>
            <w:r w:rsidRPr="00F416A8">
              <w:rPr>
                <w:rFonts w:cs="Arial"/>
                <w:szCs w:val="22"/>
                <w:lang w:eastAsia="en-GB"/>
              </w:rPr>
              <w:t>None</w:t>
            </w:r>
          </w:p>
          <w:p w14:paraId="54387939" w14:textId="77777777" w:rsidR="00F416A8" w:rsidRPr="00F416A8" w:rsidRDefault="00F416A8" w:rsidP="00F416A8">
            <w:pPr>
              <w:spacing w:after="120"/>
              <w:rPr>
                <w:rFonts w:cs="Arial"/>
                <w:szCs w:val="22"/>
                <w:lang w:eastAsia="en-GB"/>
              </w:rPr>
            </w:pPr>
          </w:p>
        </w:tc>
      </w:tr>
      <w:tr w:rsidR="00F416A8" w:rsidRPr="00F416A8" w14:paraId="745B048D" w14:textId="77777777" w:rsidTr="00E63CDD">
        <w:tc>
          <w:tcPr>
            <w:tcW w:w="10031" w:type="dxa"/>
            <w:gridSpan w:val="7"/>
            <w:shd w:val="clear" w:color="auto" w:fill="F2F2F2"/>
          </w:tcPr>
          <w:p w14:paraId="39650AC5" w14:textId="77777777" w:rsidR="00F416A8" w:rsidRPr="00F416A8" w:rsidRDefault="00F416A8" w:rsidP="00F416A8">
            <w:pPr>
              <w:rPr>
                <w:rFonts w:cs="Arial"/>
                <w:szCs w:val="22"/>
                <w:lang w:eastAsia="en-GB"/>
              </w:rPr>
            </w:pPr>
            <w:r w:rsidRPr="00F416A8">
              <w:rPr>
                <w:rFonts w:cs="Arial"/>
                <w:b/>
                <w:szCs w:val="22"/>
                <w:lang w:eastAsia="en-GB"/>
              </w:rPr>
              <w:t>Consultations</w:t>
            </w:r>
          </w:p>
        </w:tc>
      </w:tr>
      <w:tr w:rsidR="00F416A8" w:rsidRPr="00F416A8" w14:paraId="281B9C5C" w14:textId="77777777" w:rsidTr="00E63CDD">
        <w:tc>
          <w:tcPr>
            <w:tcW w:w="2088" w:type="dxa"/>
            <w:gridSpan w:val="2"/>
          </w:tcPr>
          <w:p w14:paraId="62CA7F05" w14:textId="77777777" w:rsidR="00F416A8" w:rsidRPr="00F416A8" w:rsidRDefault="00F416A8" w:rsidP="00F416A8">
            <w:pPr>
              <w:ind w:firstLine="25"/>
              <w:rPr>
                <w:rFonts w:cs="Arial"/>
                <w:b/>
                <w:szCs w:val="22"/>
                <w:lang w:eastAsia="en-GB"/>
              </w:rPr>
            </w:pPr>
            <w:r w:rsidRPr="00F416A8">
              <w:rPr>
                <w:rFonts w:cs="Arial"/>
                <w:b/>
                <w:szCs w:val="22"/>
                <w:lang w:eastAsia="en-GB"/>
              </w:rPr>
              <w:t>Neighbour representations</w:t>
            </w:r>
          </w:p>
        </w:tc>
        <w:tc>
          <w:tcPr>
            <w:tcW w:w="2556" w:type="dxa"/>
            <w:gridSpan w:val="3"/>
          </w:tcPr>
          <w:p w14:paraId="0D77CEF1" w14:textId="77777777" w:rsidR="00F416A8" w:rsidRPr="00F416A8" w:rsidRDefault="00F416A8" w:rsidP="00F416A8">
            <w:pPr>
              <w:ind w:left="117" w:firstLine="25"/>
              <w:rPr>
                <w:rFonts w:cs="Arial"/>
                <w:szCs w:val="22"/>
                <w:lang w:eastAsia="en-GB"/>
              </w:rPr>
            </w:pPr>
            <w:r w:rsidRPr="00F416A8">
              <w:rPr>
                <w:rFonts w:cs="Arial"/>
                <w:szCs w:val="22"/>
                <w:lang w:eastAsia="en-GB"/>
              </w:rPr>
              <w:t>Support:</w:t>
            </w:r>
            <w:r w:rsidRPr="00F416A8">
              <w:rPr>
                <w:rFonts w:cs="Arial"/>
                <w:color w:val="FF0000"/>
                <w:szCs w:val="22"/>
                <w:lang w:eastAsia="en-GB"/>
              </w:rPr>
              <w:t xml:space="preserve"> </w:t>
            </w:r>
            <w:r w:rsidRPr="00F416A8">
              <w:rPr>
                <w:rFonts w:cs="Arial"/>
                <w:szCs w:val="22"/>
                <w:lang w:eastAsia="en-GB"/>
              </w:rPr>
              <w:t xml:space="preserve"> 0</w:t>
            </w:r>
          </w:p>
        </w:tc>
        <w:tc>
          <w:tcPr>
            <w:tcW w:w="2694" w:type="dxa"/>
          </w:tcPr>
          <w:p w14:paraId="484AAB26" w14:textId="77777777" w:rsidR="00F416A8" w:rsidRPr="00F416A8" w:rsidRDefault="00F416A8" w:rsidP="00F416A8">
            <w:pPr>
              <w:ind w:left="117" w:firstLine="25"/>
              <w:rPr>
                <w:rFonts w:cs="Arial"/>
                <w:szCs w:val="22"/>
                <w:lang w:eastAsia="en-GB"/>
              </w:rPr>
            </w:pPr>
            <w:r w:rsidRPr="00F416A8">
              <w:rPr>
                <w:rFonts w:cs="Arial"/>
                <w:szCs w:val="22"/>
                <w:lang w:eastAsia="en-GB"/>
              </w:rPr>
              <w:t>Object:</w:t>
            </w:r>
            <w:r w:rsidRPr="00F416A8">
              <w:rPr>
                <w:rFonts w:cs="Arial"/>
                <w:color w:val="FF0000"/>
                <w:szCs w:val="22"/>
                <w:lang w:eastAsia="en-GB"/>
              </w:rPr>
              <w:t xml:space="preserve"> </w:t>
            </w:r>
            <w:r w:rsidRPr="00F416A8">
              <w:rPr>
                <w:rFonts w:cs="Arial"/>
                <w:szCs w:val="22"/>
                <w:lang w:eastAsia="en-GB"/>
              </w:rPr>
              <w:t xml:space="preserve"> 0</w:t>
            </w:r>
          </w:p>
        </w:tc>
        <w:tc>
          <w:tcPr>
            <w:tcW w:w="2693" w:type="dxa"/>
          </w:tcPr>
          <w:p w14:paraId="7394A219" w14:textId="77777777" w:rsidR="00F416A8" w:rsidRPr="00F416A8" w:rsidRDefault="00F416A8" w:rsidP="00F416A8">
            <w:pPr>
              <w:ind w:left="117" w:firstLine="25"/>
              <w:rPr>
                <w:rFonts w:cs="Arial"/>
                <w:szCs w:val="22"/>
                <w:lang w:eastAsia="en-GB"/>
              </w:rPr>
            </w:pPr>
            <w:r w:rsidRPr="00F416A8">
              <w:rPr>
                <w:rFonts w:cs="Arial"/>
                <w:szCs w:val="22"/>
                <w:lang w:eastAsia="en-GB"/>
              </w:rPr>
              <w:t>Other:</w:t>
            </w:r>
            <w:r w:rsidRPr="00F416A8">
              <w:rPr>
                <w:rFonts w:cs="Arial"/>
                <w:color w:val="FF0000"/>
                <w:szCs w:val="22"/>
                <w:lang w:eastAsia="en-GB"/>
              </w:rPr>
              <w:t xml:space="preserve"> </w:t>
            </w:r>
            <w:r w:rsidRPr="00F416A8">
              <w:rPr>
                <w:rFonts w:cs="Arial"/>
                <w:szCs w:val="22"/>
                <w:lang w:eastAsia="en-GB"/>
              </w:rPr>
              <w:t xml:space="preserve"> 0</w:t>
            </w:r>
          </w:p>
        </w:tc>
      </w:tr>
      <w:tr w:rsidR="00F416A8" w:rsidRPr="00F416A8" w14:paraId="085016B6" w14:textId="77777777" w:rsidTr="00E63CDD">
        <w:tc>
          <w:tcPr>
            <w:tcW w:w="2095" w:type="dxa"/>
            <w:gridSpan w:val="3"/>
          </w:tcPr>
          <w:p w14:paraId="464A31E4" w14:textId="77777777" w:rsidR="00F416A8" w:rsidRPr="00F416A8" w:rsidRDefault="00F416A8" w:rsidP="00F416A8">
            <w:pPr>
              <w:ind w:firstLine="25"/>
              <w:rPr>
                <w:rFonts w:cs="Arial"/>
                <w:b/>
                <w:szCs w:val="22"/>
                <w:lang w:eastAsia="en-GB"/>
              </w:rPr>
            </w:pPr>
            <w:r w:rsidRPr="00F416A8">
              <w:rPr>
                <w:rFonts w:cs="Arial"/>
                <w:b/>
                <w:szCs w:val="22"/>
                <w:lang w:eastAsia="en-GB"/>
              </w:rPr>
              <w:t>Publicity</w:t>
            </w:r>
          </w:p>
        </w:tc>
        <w:tc>
          <w:tcPr>
            <w:tcW w:w="7936" w:type="dxa"/>
            <w:gridSpan w:val="4"/>
          </w:tcPr>
          <w:p w14:paraId="2768C1B6" w14:textId="77777777" w:rsidR="00F416A8" w:rsidRPr="00F416A8" w:rsidRDefault="00F416A8" w:rsidP="00F416A8">
            <w:pPr>
              <w:spacing w:after="120"/>
              <w:rPr>
                <w:rFonts w:cs="Arial"/>
                <w:szCs w:val="22"/>
                <w:lang w:eastAsia="en-GB"/>
              </w:rPr>
            </w:pPr>
            <w:r w:rsidRPr="00F416A8">
              <w:rPr>
                <w:rFonts w:cs="Arial"/>
                <w:szCs w:val="22"/>
                <w:lang w:eastAsia="en-GB"/>
              </w:rPr>
              <w:t>Site Notice Display Date: 5 August 2021</w:t>
            </w:r>
          </w:p>
          <w:p w14:paraId="78DC1A56" w14:textId="77777777" w:rsidR="00F416A8" w:rsidRPr="00F416A8" w:rsidRDefault="00F416A8" w:rsidP="00F416A8">
            <w:pPr>
              <w:spacing w:after="120"/>
              <w:rPr>
                <w:rFonts w:cs="Arial"/>
                <w:szCs w:val="22"/>
                <w:lang w:eastAsia="en-GB"/>
              </w:rPr>
            </w:pPr>
            <w:r w:rsidRPr="00F416A8">
              <w:rPr>
                <w:rFonts w:cs="Arial"/>
                <w:szCs w:val="22"/>
                <w:lang w:eastAsia="en-GB"/>
              </w:rPr>
              <w:t>Site Notice Expiry Date: 26 August 2021</w:t>
            </w:r>
          </w:p>
          <w:p w14:paraId="2EEB506D" w14:textId="77777777" w:rsidR="00F416A8" w:rsidRPr="00F416A8" w:rsidRDefault="00F416A8" w:rsidP="00F416A8">
            <w:pPr>
              <w:spacing w:after="120"/>
              <w:rPr>
                <w:rFonts w:cs="Arial"/>
                <w:szCs w:val="22"/>
                <w:lang w:eastAsia="en-GB"/>
              </w:rPr>
            </w:pPr>
            <w:r w:rsidRPr="00F416A8">
              <w:rPr>
                <w:rFonts w:cs="Arial"/>
                <w:szCs w:val="22"/>
                <w:lang w:eastAsia="en-GB"/>
              </w:rPr>
              <w:t>Press Advert Display Date: 28 July 2021</w:t>
            </w:r>
          </w:p>
          <w:p w14:paraId="147930C1" w14:textId="77777777" w:rsidR="00F416A8" w:rsidRPr="00F416A8" w:rsidRDefault="00F416A8" w:rsidP="00F416A8">
            <w:pPr>
              <w:spacing w:after="120"/>
              <w:rPr>
                <w:rFonts w:cs="Arial"/>
                <w:szCs w:val="22"/>
                <w:lang w:eastAsia="en-GB"/>
              </w:rPr>
            </w:pPr>
            <w:r w:rsidRPr="00F416A8">
              <w:rPr>
                <w:rFonts w:cs="Arial"/>
                <w:szCs w:val="22"/>
                <w:lang w:eastAsia="en-GB"/>
              </w:rPr>
              <w:t>Press Advert Expiry Date: 18 August 2021</w:t>
            </w:r>
          </w:p>
        </w:tc>
      </w:tr>
      <w:tr w:rsidR="00F416A8" w:rsidRPr="00F416A8" w14:paraId="32B244D0" w14:textId="77777777" w:rsidTr="00E63CDD">
        <w:tc>
          <w:tcPr>
            <w:tcW w:w="2095" w:type="dxa"/>
            <w:gridSpan w:val="3"/>
          </w:tcPr>
          <w:p w14:paraId="0383F93F" w14:textId="77777777" w:rsidR="00F416A8" w:rsidRPr="00F416A8" w:rsidRDefault="00F416A8" w:rsidP="00F416A8">
            <w:pPr>
              <w:ind w:firstLine="25"/>
              <w:rPr>
                <w:rFonts w:cs="Arial"/>
                <w:b/>
                <w:szCs w:val="22"/>
                <w:lang w:eastAsia="en-GB"/>
              </w:rPr>
            </w:pPr>
            <w:r w:rsidRPr="00F416A8">
              <w:rPr>
                <w:rFonts w:cs="Arial"/>
                <w:b/>
                <w:szCs w:val="22"/>
                <w:lang w:eastAsia="en-GB"/>
              </w:rPr>
              <w:t>Summary of neighbour responses</w:t>
            </w:r>
          </w:p>
        </w:tc>
        <w:tc>
          <w:tcPr>
            <w:tcW w:w="7936" w:type="dxa"/>
            <w:gridSpan w:val="4"/>
          </w:tcPr>
          <w:p w14:paraId="78FD910B" w14:textId="77777777" w:rsidR="00F416A8" w:rsidRPr="00F416A8" w:rsidRDefault="00F416A8" w:rsidP="00F416A8">
            <w:pPr>
              <w:spacing w:after="120"/>
              <w:rPr>
                <w:rFonts w:cs="Arial"/>
                <w:szCs w:val="22"/>
                <w:lang w:eastAsia="en-GB"/>
              </w:rPr>
            </w:pPr>
            <w:r w:rsidRPr="00F416A8">
              <w:rPr>
                <w:rFonts w:cs="Arial"/>
                <w:szCs w:val="22"/>
                <w:lang w:eastAsia="en-GB"/>
              </w:rPr>
              <w:t>None</w:t>
            </w:r>
          </w:p>
        </w:tc>
      </w:tr>
      <w:tr w:rsidR="00F416A8" w:rsidRPr="00F416A8" w14:paraId="15F4496F" w14:textId="77777777" w:rsidTr="00E63CDD">
        <w:tc>
          <w:tcPr>
            <w:tcW w:w="2095" w:type="dxa"/>
            <w:gridSpan w:val="3"/>
          </w:tcPr>
          <w:p w14:paraId="7C06B61A" w14:textId="77777777" w:rsidR="00F416A8" w:rsidRPr="00F416A8" w:rsidRDefault="00F416A8" w:rsidP="00F416A8">
            <w:pPr>
              <w:ind w:firstLine="25"/>
              <w:rPr>
                <w:rFonts w:cs="Arial"/>
                <w:b/>
                <w:szCs w:val="22"/>
                <w:lang w:eastAsia="en-GB"/>
              </w:rPr>
            </w:pPr>
            <w:r w:rsidRPr="00F416A8">
              <w:rPr>
                <w:rFonts w:cs="Arial"/>
                <w:b/>
                <w:szCs w:val="22"/>
                <w:lang w:eastAsia="en-GB"/>
              </w:rPr>
              <w:t>Consultees and responses</w:t>
            </w:r>
          </w:p>
        </w:tc>
        <w:tc>
          <w:tcPr>
            <w:tcW w:w="7936" w:type="dxa"/>
            <w:gridSpan w:val="4"/>
          </w:tcPr>
          <w:p w14:paraId="2884FBC8" w14:textId="77777777" w:rsidR="00F416A8" w:rsidRPr="00F416A8" w:rsidRDefault="00F416A8" w:rsidP="00F416A8">
            <w:pPr>
              <w:autoSpaceDE w:val="0"/>
              <w:autoSpaceDN w:val="0"/>
              <w:adjustRightInd w:val="0"/>
              <w:rPr>
                <w:rFonts w:cs="Arial"/>
                <w:color w:val="000000"/>
                <w:szCs w:val="22"/>
              </w:rPr>
            </w:pPr>
            <w:r w:rsidRPr="00F416A8">
              <w:rPr>
                <w:rFonts w:cs="Arial"/>
                <w:color w:val="000000"/>
                <w:szCs w:val="22"/>
              </w:rPr>
              <w:t xml:space="preserve">Place Service Conservation Officer - An objection is raised as the proposed rooflights and dormers detract from the uniformity and largely uninterrupted appearance of the roofscape of the terrace and the contribution it makes to the </w:t>
            </w:r>
            <w:r w:rsidRPr="00F416A8">
              <w:rPr>
                <w:rFonts w:cs="Arial"/>
                <w:color w:val="000000"/>
                <w:szCs w:val="22"/>
              </w:rPr>
              <w:lastRenderedPageBreak/>
              <w:t xml:space="preserve">streetscape. </w:t>
            </w:r>
            <w:r w:rsidRPr="00F416A8">
              <w:rPr>
                <w:rFonts w:cs="Arial"/>
                <w:color w:val="000000"/>
                <w:szCs w:val="22"/>
                <w:lang w:eastAsia="en-GB"/>
              </w:rPr>
              <w:t xml:space="preserve"> Dormers would be an incongruous feature to the terrace and the front rooflights are an unsympathetic addition to the </w:t>
            </w:r>
            <w:proofErr w:type="spellStart"/>
            <w:r w:rsidRPr="00F416A8">
              <w:rPr>
                <w:rFonts w:cs="Arial"/>
                <w:color w:val="000000"/>
                <w:szCs w:val="22"/>
                <w:lang w:eastAsia="en-GB"/>
              </w:rPr>
              <w:t>streetscene</w:t>
            </w:r>
            <w:proofErr w:type="spellEnd"/>
            <w:r w:rsidRPr="00F416A8">
              <w:rPr>
                <w:rFonts w:cs="Arial"/>
                <w:color w:val="000000"/>
                <w:szCs w:val="22"/>
                <w:lang w:eastAsia="en-GB"/>
              </w:rPr>
              <w:t>.</w:t>
            </w:r>
          </w:p>
          <w:p w14:paraId="10BBF6B5" w14:textId="77777777" w:rsidR="00F416A8" w:rsidRPr="00F416A8" w:rsidRDefault="00F416A8" w:rsidP="00F416A8">
            <w:pPr>
              <w:autoSpaceDE w:val="0"/>
              <w:autoSpaceDN w:val="0"/>
              <w:adjustRightInd w:val="0"/>
              <w:rPr>
                <w:rFonts w:cs="Arial"/>
                <w:color w:val="000000"/>
                <w:szCs w:val="22"/>
              </w:rPr>
            </w:pPr>
          </w:p>
        </w:tc>
      </w:tr>
      <w:tr w:rsidR="00F416A8" w:rsidRPr="00F416A8" w14:paraId="5FC45DE1" w14:textId="77777777" w:rsidTr="00E63CDD">
        <w:tc>
          <w:tcPr>
            <w:tcW w:w="10031" w:type="dxa"/>
            <w:gridSpan w:val="7"/>
            <w:shd w:val="clear" w:color="auto" w:fill="F2F2F2"/>
          </w:tcPr>
          <w:p w14:paraId="57B1EC55" w14:textId="77777777" w:rsidR="00F416A8" w:rsidRPr="00F416A8" w:rsidRDefault="00F416A8" w:rsidP="00F416A8">
            <w:pPr>
              <w:rPr>
                <w:rFonts w:cs="Arial"/>
                <w:szCs w:val="22"/>
                <w:highlight w:val="yellow"/>
                <w:lang w:eastAsia="en-GB"/>
              </w:rPr>
            </w:pPr>
            <w:r w:rsidRPr="00F416A8">
              <w:rPr>
                <w:rFonts w:cs="Arial"/>
                <w:b/>
                <w:szCs w:val="22"/>
                <w:lang w:eastAsia="en-GB"/>
              </w:rPr>
              <w:lastRenderedPageBreak/>
              <w:t>Relevant Policies</w:t>
            </w:r>
          </w:p>
        </w:tc>
      </w:tr>
      <w:tr w:rsidR="00F416A8" w:rsidRPr="00F416A8" w14:paraId="4E120B04" w14:textId="77777777" w:rsidTr="00E63CDD">
        <w:tc>
          <w:tcPr>
            <w:tcW w:w="10031" w:type="dxa"/>
            <w:gridSpan w:val="7"/>
          </w:tcPr>
          <w:p w14:paraId="0B527B40" w14:textId="77777777" w:rsidR="00F416A8" w:rsidRPr="00F416A8" w:rsidRDefault="00F416A8" w:rsidP="00F416A8">
            <w:pPr>
              <w:rPr>
                <w:rFonts w:cs="Arial"/>
                <w:szCs w:val="22"/>
                <w:lang w:eastAsia="en-GB"/>
              </w:rPr>
            </w:pPr>
            <w:r w:rsidRPr="00F416A8">
              <w:rPr>
                <w:rFonts w:cs="Arial"/>
                <w:szCs w:val="22"/>
                <w:lang w:eastAsia="en-GB"/>
              </w:rPr>
              <w:fldChar w:fldCharType="begin">
                <w:ffData>
                  <w:name w:val="Check27"/>
                  <w:enabled/>
                  <w:calcOnExit w:val="0"/>
                  <w:checkBox>
                    <w:sizeAuto/>
                    <w:default w:val="1"/>
                  </w:checkBox>
                </w:ffData>
              </w:fldChar>
            </w:r>
            <w:bookmarkStart w:id="0" w:name="Check27"/>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bookmarkEnd w:id="0"/>
            <w:r w:rsidRPr="00F416A8">
              <w:rPr>
                <w:rFonts w:cs="Arial"/>
                <w:szCs w:val="22"/>
                <w:lang w:eastAsia="en-GB"/>
              </w:rPr>
              <w:t xml:space="preserve"> NPPF</w:t>
            </w:r>
          </w:p>
          <w:p w14:paraId="764EF90C" w14:textId="77777777" w:rsidR="00F416A8" w:rsidRPr="00F416A8" w:rsidRDefault="00F416A8" w:rsidP="00F416A8">
            <w:pPr>
              <w:rPr>
                <w:rFonts w:cs="Arial"/>
                <w:szCs w:val="22"/>
                <w:lang w:eastAsia="en-GB"/>
              </w:rPr>
            </w:pPr>
            <w:r w:rsidRPr="00F416A8">
              <w:rPr>
                <w:rFonts w:cs="Arial"/>
                <w:szCs w:val="22"/>
                <w:lang w:eastAsia="en-GB"/>
              </w:rPr>
              <w:fldChar w:fldCharType="begin">
                <w:ffData>
                  <w:name w:val="Check7"/>
                  <w:enabled/>
                  <w:calcOnExit w:val="0"/>
                  <w:checkBox>
                    <w:sizeAuto/>
                    <w:default w:val="1"/>
                  </w:checkBox>
                </w:ffData>
              </w:fldChar>
            </w:r>
            <w:bookmarkStart w:id="1" w:name="Check7"/>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bookmarkEnd w:id="1"/>
            <w:r w:rsidRPr="00F416A8">
              <w:rPr>
                <w:rFonts w:cs="Arial"/>
                <w:szCs w:val="22"/>
                <w:lang w:eastAsia="en-GB"/>
              </w:rPr>
              <w:t xml:space="preserve"> D1     </w:t>
            </w:r>
            <w:r w:rsidRPr="00F416A8">
              <w:rPr>
                <w:rFonts w:cs="Arial"/>
                <w:szCs w:val="22"/>
                <w:lang w:eastAsia="en-GB"/>
              </w:rPr>
              <w:fldChar w:fldCharType="begin">
                <w:ffData>
                  <w:name w:val="Check8"/>
                  <w:enabled/>
                  <w:calcOnExit w:val="0"/>
                  <w:checkBox>
                    <w:sizeAuto/>
                    <w:default w:val="1"/>
                  </w:checkBox>
                </w:ffData>
              </w:fldChar>
            </w:r>
            <w:bookmarkStart w:id="2" w:name="Check8"/>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bookmarkEnd w:id="2"/>
            <w:r w:rsidRPr="00F416A8">
              <w:rPr>
                <w:rFonts w:cs="Arial"/>
                <w:szCs w:val="22"/>
                <w:lang w:eastAsia="en-GB"/>
              </w:rPr>
              <w:t xml:space="preserve"> D2     </w:t>
            </w:r>
            <w:r w:rsidRPr="00F416A8">
              <w:rPr>
                <w:rFonts w:cs="Arial"/>
                <w:szCs w:val="22"/>
                <w:lang w:eastAsia="en-GB"/>
              </w:rPr>
              <w:fldChar w:fldCharType="begin">
                <w:ffData>
                  <w:name w:val="Check9"/>
                  <w:enabled/>
                  <w:calcOnExit w:val="0"/>
                  <w:checkBox>
                    <w:sizeAuto/>
                    <w:default w:val="0"/>
                  </w:checkBox>
                </w:ffData>
              </w:fldChar>
            </w:r>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r w:rsidRPr="00F416A8">
              <w:rPr>
                <w:rFonts w:cs="Arial"/>
                <w:szCs w:val="22"/>
                <w:lang w:eastAsia="en-GB"/>
              </w:rPr>
              <w:t xml:space="preserve"> GBSP1  </w:t>
            </w:r>
            <w:r w:rsidRPr="00F416A8">
              <w:rPr>
                <w:rFonts w:cs="Arial"/>
                <w:szCs w:val="22"/>
                <w:lang w:eastAsia="en-GB"/>
              </w:rPr>
              <w:fldChar w:fldCharType="begin">
                <w:ffData>
                  <w:name w:val="Check10"/>
                  <w:enabled/>
                  <w:calcOnExit w:val="0"/>
                  <w:checkBox>
                    <w:sizeAuto/>
                    <w:default w:val="1"/>
                  </w:checkBox>
                </w:ffData>
              </w:fldChar>
            </w:r>
            <w:bookmarkStart w:id="3" w:name="Check10"/>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bookmarkEnd w:id="3"/>
            <w:r w:rsidRPr="00F416A8">
              <w:rPr>
                <w:rFonts w:cs="Arial"/>
                <w:szCs w:val="22"/>
                <w:lang w:eastAsia="en-GB"/>
              </w:rPr>
              <w:t xml:space="preserve"> GBSP2  </w:t>
            </w:r>
            <w:r w:rsidRPr="00F416A8">
              <w:rPr>
                <w:rFonts w:cs="Arial"/>
                <w:szCs w:val="22"/>
                <w:lang w:eastAsia="en-GB"/>
              </w:rPr>
              <w:fldChar w:fldCharType="begin">
                <w:ffData>
                  <w:name w:val="Check11"/>
                  <w:enabled/>
                  <w:calcOnExit w:val="0"/>
                  <w:checkBox>
                    <w:sizeAuto/>
                    <w:default w:val="1"/>
                  </w:checkBox>
                </w:ffData>
              </w:fldChar>
            </w:r>
            <w:bookmarkStart w:id="4" w:name="Check11"/>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bookmarkEnd w:id="4"/>
            <w:r w:rsidRPr="00F416A8">
              <w:rPr>
                <w:rFonts w:cs="Arial"/>
                <w:szCs w:val="22"/>
                <w:lang w:eastAsia="en-GB"/>
              </w:rPr>
              <w:t xml:space="preserve"> M14</w:t>
            </w:r>
          </w:p>
          <w:p w14:paraId="4EB54768" w14:textId="77777777" w:rsidR="00F416A8" w:rsidRPr="00F416A8" w:rsidRDefault="00F416A8" w:rsidP="00F416A8">
            <w:pPr>
              <w:rPr>
                <w:rFonts w:cs="Arial"/>
                <w:szCs w:val="22"/>
                <w:lang w:eastAsia="en-GB"/>
              </w:rPr>
            </w:pPr>
            <w:r w:rsidRPr="00F416A8">
              <w:rPr>
                <w:rFonts w:cs="Arial"/>
                <w:szCs w:val="22"/>
                <w:lang w:eastAsia="en-GB"/>
              </w:rPr>
              <w:fldChar w:fldCharType="begin">
                <w:ffData>
                  <w:name w:val=""/>
                  <w:enabled/>
                  <w:calcOnExit w:val="0"/>
                  <w:checkBox>
                    <w:sizeAuto/>
                    <w:default w:val="1"/>
                  </w:checkBox>
                </w:ffData>
              </w:fldChar>
            </w:r>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r w:rsidRPr="00F416A8">
              <w:rPr>
                <w:rFonts w:cs="Arial"/>
                <w:szCs w:val="22"/>
                <w:lang w:eastAsia="en-GB"/>
              </w:rPr>
              <w:t xml:space="preserve"> Supplementary Design Guidance   </w:t>
            </w:r>
            <w:r w:rsidRPr="00F416A8">
              <w:rPr>
                <w:rFonts w:cs="Arial"/>
                <w:szCs w:val="22"/>
                <w:lang w:eastAsia="en-GB"/>
              </w:rPr>
              <w:fldChar w:fldCharType="begin">
                <w:ffData>
                  <w:name w:val=""/>
                  <w:enabled/>
                  <w:calcOnExit w:val="0"/>
                  <w:checkBox>
                    <w:sizeAuto/>
                    <w:default w:val="1"/>
                  </w:checkBox>
                </w:ffData>
              </w:fldChar>
            </w:r>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r w:rsidRPr="00F416A8">
              <w:rPr>
                <w:rFonts w:cs="Arial"/>
                <w:szCs w:val="22"/>
                <w:lang w:eastAsia="en-GB"/>
              </w:rPr>
              <w:t xml:space="preserve"> Supplementary Parking Guidance   </w:t>
            </w:r>
            <w:r w:rsidRPr="00F416A8">
              <w:rPr>
                <w:rFonts w:cs="Arial"/>
                <w:szCs w:val="22"/>
                <w:lang w:eastAsia="en-GB"/>
              </w:rPr>
              <w:fldChar w:fldCharType="begin">
                <w:ffData>
                  <w:name w:val=""/>
                  <w:enabled/>
                  <w:calcOnExit w:val="0"/>
                  <w:checkBox>
                    <w:sizeAuto/>
                    <w:default w:val="1"/>
                  </w:checkBox>
                </w:ffData>
              </w:fldChar>
            </w:r>
            <w:r w:rsidRPr="00F416A8">
              <w:rPr>
                <w:rFonts w:cs="Arial"/>
                <w:szCs w:val="22"/>
                <w:lang w:eastAsia="en-GB"/>
              </w:rPr>
              <w:instrText xml:space="preserve"> FORMCHECKBOX </w:instrText>
            </w:r>
            <w:r w:rsidR="00B11C4A">
              <w:rPr>
                <w:rFonts w:cs="Arial"/>
                <w:szCs w:val="22"/>
                <w:lang w:eastAsia="en-GB"/>
              </w:rPr>
            </w:r>
            <w:r w:rsidR="00B11C4A">
              <w:rPr>
                <w:rFonts w:cs="Arial"/>
                <w:szCs w:val="22"/>
                <w:lang w:eastAsia="en-GB"/>
              </w:rPr>
              <w:fldChar w:fldCharType="separate"/>
            </w:r>
            <w:r w:rsidRPr="00F416A8">
              <w:rPr>
                <w:rFonts w:cs="Arial"/>
                <w:szCs w:val="22"/>
                <w:lang w:eastAsia="en-GB"/>
              </w:rPr>
              <w:fldChar w:fldCharType="end"/>
            </w:r>
            <w:r w:rsidRPr="00F416A8">
              <w:rPr>
                <w:rFonts w:cs="Arial"/>
                <w:szCs w:val="22"/>
                <w:lang w:eastAsia="en-GB"/>
              </w:rPr>
              <w:t xml:space="preserve"> Interim Policy for car parking and garage sizes</w:t>
            </w:r>
          </w:p>
          <w:p w14:paraId="1B8138F9" w14:textId="77777777" w:rsidR="00F416A8" w:rsidRPr="00F416A8" w:rsidRDefault="00F416A8" w:rsidP="00F416A8">
            <w:pPr>
              <w:rPr>
                <w:rFonts w:cs="Arial"/>
                <w:szCs w:val="22"/>
                <w:lang w:eastAsia="en-GB"/>
              </w:rPr>
            </w:pPr>
            <w:r w:rsidRPr="00F416A8">
              <w:rPr>
                <w:rFonts w:cs="Arial"/>
                <w:szCs w:val="22"/>
                <w:lang w:eastAsia="en-GB"/>
              </w:rPr>
              <w:t xml:space="preserve">       </w:t>
            </w:r>
          </w:p>
          <w:p w14:paraId="47737A47" w14:textId="77777777" w:rsidR="00F416A8" w:rsidRPr="00F416A8" w:rsidRDefault="00F416A8" w:rsidP="00F416A8">
            <w:pPr>
              <w:autoSpaceDE w:val="0"/>
              <w:autoSpaceDN w:val="0"/>
              <w:adjustRightInd w:val="0"/>
              <w:rPr>
                <w:rFonts w:cs="Arial"/>
                <w:szCs w:val="22"/>
                <w:u w:val="single"/>
                <w:lang w:eastAsia="en-GB"/>
              </w:rPr>
            </w:pPr>
            <w:r w:rsidRPr="00F416A8">
              <w:rPr>
                <w:rFonts w:cs="Arial"/>
                <w:szCs w:val="22"/>
                <w:u w:val="single"/>
                <w:lang w:eastAsia="en-GB"/>
              </w:rPr>
              <w:t>Draft Local Plan Proposed Submission August 2016:</w:t>
            </w:r>
          </w:p>
          <w:p w14:paraId="3426DD1F"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SP1 Delivering Sustainable Development</w:t>
            </w:r>
          </w:p>
          <w:p w14:paraId="51FDB43E"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SP9 Place Making and </w:t>
            </w:r>
            <w:proofErr w:type="gramStart"/>
            <w:r w:rsidRPr="00F416A8">
              <w:rPr>
                <w:rFonts w:cs="Arial"/>
                <w:szCs w:val="22"/>
                <w:lang w:eastAsia="en-GB"/>
              </w:rPr>
              <w:t>High Quality</w:t>
            </w:r>
            <w:proofErr w:type="gramEnd"/>
            <w:r w:rsidRPr="00F416A8">
              <w:rPr>
                <w:rFonts w:cs="Arial"/>
                <w:szCs w:val="22"/>
                <w:lang w:eastAsia="en-GB"/>
              </w:rPr>
              <w:t xml:space="preserve"> Design</w:t>
            </w:r>
          </w:p>
          <w:p w14:paraId="0CF8A164"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SADM11 Amenity and Layout</w:t>
            </w:r>
          </w:p>
          <w:p w14:paraId="39543E43"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SADM12 Parking, Servicing and Refuse</w:t>
            </w:r>
          </w:p>
          <w:p w14:paraId="6FE56E5F" w14:textId="77777777" w:rsidR="00F416A8" w:rsidRPr="00F416A8" w:rsidRDefault="00F416A8" w:rsidP="00F416A8">
            <w:pPr>
              <w:rPr>
                <w:rFonts w:cs="Arial"/>
                <w:sz w:val="24"/>
                <w:szCs w:val="22"/>
                <w:lang w:eastAsia="en-GB"/>
              </w:rPr>
            </w:pPr>
            <w:r w:rsidRPr="00F416A8">
              <w:rPr>
                <w:rFonts w:cs="Arial"/>
                <w:szCs w:val="22"/>
                <w:lang w:eastAsia="en-GB"/>
              </w:rPr>
              <w:t>SADM15 Heritage</w:t>
            </w:r>
          </w:p>
          <w:p w14:paraId="4FC83124" w14:textId="77777777" w:rsidR="00F416A8" w:rsidRPr="00F416A8" w:rsidRDefault="00F416A8" w:rsidP="00F416A8">
            <w:pPr>
              <w:rPr>
                <w:rFonts w:cs="Arial"/>
                <w:szCs w:val="22"/>
                <w:highlight w:val="yellow"/>
                <w:lang w:eastAsia="en-GB"/>
              </w:rPr>
            </w:pPr>
          </w:p>
        </w:tc>
      </w:tr>
      <w:tr w:rsidR="00F416A8" w:rsidRPr="00F416A8" w14:paraId="44D470B3" w14:textId="77777777" w:rsidTr="00E63CDD">
        <w:tblPrEx>
          <w:tblLook w:val="01E0" w:firstRow="1" w:lastRow="1" w:firstColumn="1" w:lastColumn="1" w:noHBand="0" w:noVBand="0"/>
        </w:tblPrEx>
        <w:tc>
          <w:tcPr>
            <w:tcW w:w="10031" w:type="dxa"/>
            <w:gridSpan w:val="7"/>
            <w:shd w:val="clear" w:color="auto" w:fill="EEECE1"/>
          </w:tcPr>
          <w:p w14:paraId="253D8999" w14:textId="77777777" w:rsidR="00F416A8" w:rsidRPr="00F416A8" w:rsidRDefault="00F416A8" w:rsidP="00F416A8">
            <w:pPr>
              <w:rPr>
                <w:rFonts w:cs="Arial"/>
                <w:b/>
                <w:szCs w:val="22"/>
                <w:lang w:eastAsia="en-GB"/>
              </w:rPr>
            </w:pPr>
            <w:r w:rsidRPr="00F416A8">
              <w:rPr>
                <w:rFonts w:cs="Arial"/>
                <w:b/>
                <w:szCs w:val="22"/>
                <w:lang w:eastAsia="en-GB"/>
              </w:rPr>
              <w:t>Main Issues</w:t>
            </w:r>
          </w:p>
        </w:tc>
      </w:tr>
      <w:tr w:rsidR="00F416A8" w:rsidRPr="00F416A8" w14:paraId="5D9411B0" w14:textId="77777777" w:rsidTr="00E63CDD">
        <w:tblPrEx>
          <w:tblLook w:val="01E0" w:firstRow="1" w:lastRow="1" w:firstColumn="1" w:lastColumn="1" w:noHBand="0" w:noVBand="0"/>
        </w:tblPrEx>
        <w:tc>
          <w:tcPr>
            <w:tcW w:w="2125" w:type="dxa"/>
            <w:gridSpan w:val="4"/>
            <w:shd w:val="clear" w:color="auto" w:fill="auto"/>
          </w:tcPr>
          <w:p w14:paraId="24F44CC2" w14:textId="77777777" w:rsidR="00F416A8" w:rsidRPr="00F416A8" w:rsidRDefault="00F416A8" w:rsidP="00F416A8">
            <w:pPr>
              <w:rPr>
                <w:rFonts w:cs="Arial"/>
                <w:b/>
                <w:szCs w:val="22"/>
                <w:lang w:eastAsia="en-GB"/>
              </w:rPr>
            </w:pPr>
            <w:r w:rsidRPr="00F416A8">
              <w:rPr>
                <w:rFonts w:cs="Arial"/>
                <w:b/>
                <w:szCs w:val="22"/>
                <w:lang w:eastAsia="en-GB"/>
              </w:rPr>
              <w:t xml:space="preserve">Design (form, size, scale, siting) and Character (appearance within the </w:t>
            </w:r>
            <w:proofErr w:type="spellStart"/>
            <w:r w:rsidRPr="00F416A8">
              <w:rPr>
                <w:rFonts w:cs="Arial"/>
                <w:b/>
                <w:szCs w:val="22"/>
                <w:lang w:eastAsia="en-GB"/>
              </w:rPr>
              <w:t>streetscene</w:t>
            </w:r>
            <w:proofErr w:type="spellEnd"/>
            <w:r w:rsidRPr="00F416A8">
              <w:rPr>
                <w:rFonts w:cs="Arial"/>
                <w:b/>
                <w:szCs w:val="22"/>
                <w:lang w:eastAsia="en-GB"/>
              </w:rPr>
              <w:t>)</w:t>
            </w:r>
          </w:p>
        </w:tc>
        <w:tc>
          <w:tcPr>
            <w:tcW w:w="7906" w:type="dxa"/>
            <w:gridSpan w:val="3"/>
            <w:shd w:val="clear" w:color="auto" w:fill="auto"/>
          </w:tcPr>
          <w:p w14:paraId="4B317E20"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Policy GBSP2 of the Welwyn Hatfield District Plan 2005 states that development within the specified settlements will be limited to that which is compatible with the maintenance and enhancement of their character. Policy D1 requires the standard of design in all new development to be of a high quality and Policy D2 requires all new development to respect and relate to the character and context of the area in which it is proposed. It notes that development proposals should as a minimum maintain, and where possible, should enhance or improve the character of the existing area. The above objectives are broadly consistent with Policies SP1 and SP9 of the Council’s Emerging Local Plan 2016.</w:t>
            </w:r>
          </w:p>
          <w:p w14:paraId="44C06EB0" w14:textId="77777777" w:rsidR="00F416A8" w:rsidRPr="00F416A8" w:rsidRDefault="00F416A8" w:rsidP="00F416A8">
            <w:pPr>
              <w:autoSpaceDE w:val="0"/>
              <w:autoSpaceDN w:val="0"/>
              <w:adjustRightInd w:val="0"/>
              <w:rPr>
                <w:rFonts w:cs="Arial"/>
                <w:szCs w:val="22"/>
                <w:lang w:eastAsia="en-GB"/>
              </w:rPr>
            </w:pPr>
          </w:p>
          <w:p w14:paraId="25632058"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The application site is additionally located within the Welwyn Garden City Conservation Area. Section 72 of the Listed Buildings and Conservation Areas Act states that </w:t>
            </w:r>
            <w:r w:rsidRPr="00F416A8">
              <w:rPr>
                <w:rFonts w:cs="Arial"/>
                <w:i/>
                <w:iCs/>
                <w:szCs w:val="22"/>
                <w:lang w:eastAsia="en-GB"/>
              </w:rPr>
              <w:t>‘special attention shall be paid to the desirability of preserving or enhancing the character or appearance of that area’</w:t>
            </w:r>
            <w:r w:rsidRPr="00F416A8">
              <w:rPr>
                <w:rFonts w:cs="Arial"/>
                <w:szCs w:val="22"/>
                <w:lang w:eastAsia="en-GB"/>
              </w:rPr>
              <w:t xml:space="preserve">. The specific historic environment policies within the NPPF are contained within paragraphs 189-208. Additionally, section 16 of the NPPF ‘Conserving and enhancing the historic environment’ is broadly consistent with Policy SADM15 ‘Heritage’ of the Emerging Local Plan. </w:t>
            </w:r>
          </w:p>
          <w:p w14:paraId="66DC919B" w14:textId="77777777" w:rsidR="00F416A8" w:rsidRPr="00F416A8" w:rsidRDefault="00F416A8" w:rsidP="00F416A8">
            <w:pPr>
              <w:autoSpaceDE w:val="0"/>
              <w:autoSpaceDN w:val="0"/>
              <w:adjustRightInd w:val="0"/>
              <w:rPr>
                <w:rFonts w:cs="Arial"/>
                <w:szCs w:val="22"/>
                <w:lang w:eastAsia="en-GB"/>
              </w:rPr>
            </w:pPr>
          </w:p>
          <w:p w14:paraId="36CAC5A5"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The character and appearance of much of Welwyn Garden City has a quality</w:t>
            </w:r>
          </w:p>
          <w:p w14:paraId="1C0D18B8"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that consists of carefully designed layouts with formal patterns where the design of architecture is in groups and individual buildings. </w:t>
            </w:r>
            <w:proofErr w:type="gramStart"/>
            <w:r w:rsidRPr="00F416A8">
              <w:rPr>
                <w:rFonts w:cs="Arial"/>
                <w:szCs w:val="22"/>
                <w:lang w:eastAsia="en-GB"/>
              </w:rPr>
              <w:t>Therefore</w:t>
            </w:r>
            <w:proofErr w:type="gramEnd"/>
            <w:r w:rsidRPr="00F416A8">
              <w:rPr>
                <w:rFonts w:cs="Arial"/>
                <w:szCs w:val="22"/>
                <w:lang w:eastAsia="en-GB"/>
              </w:rPr>
              <w:t xml:space="preserve"> in order</w:t>
            </w:r>
          </w:p>
          <w:p w14:paraId="3D7A1326"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to preserve the unique architectural heritage of the town and its buildings, the</w:t>
            </w:r>
          </w:p>
          <w:p w14:paraId="0F3D7D83"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Council expects that all applications for extensions and alterations respect and do not harm the character and appearance of the building or the wider street scene. </w:t>
            </w:r>
          </w:p>
          <w:p w14:paraId="4504C2DC" w14:textId="77777777" w:rsidR="00F416A8" w:rsidRPr="00F416A8" w:rsidRDefault="00F416A8" w:rsidP="00F416A8">
            <w:pPr>
              <w:autoSpaceDE w:val="0"/>
              <w:autoSpaceDN w:val="0"/>
              <w:adjustRightInd w:val="0"/>
              <w:rPr>
                <w:rFonts w:cs="Arial"/>
                <w:szCs w:val="22"/>
                <w:lang w:eastAsia="en-GB"/>
              </w:rPr>
            </w:pPr>
          </w:p>
          <w:p w14:paraId="62B45B92" w14:textId="77777777" w:rsidR="00F416A8" w:rsidRPr="00F416A8" w:rsidRDefault="00F416A8" w:rsidP="00F416A8">
            <w:pPr>
              <w:autoSpaceDE w:val="0"/>
              <w:autoSpaceDN w:val="0"/>
              <w:adjustRightInd w:val="0"/>
              <w:rPr>
                <w:rFonts w:cs="Arial"/>
                <w:color w:val="000000"/>
                <w:szCs w:val="22"/>
              </w:rPr>
            </w:pPr>
            <w:r w:rsidRPr="00F416A8">
              <w:rPr>
                <w:rFonts w:cs="Arial"/>
                <w:color w:val="000000"/>
                <w:szCs w:val="22"/>
              </w:rPr>
              <w:t>Parkway is key component of the design of the original Garden City and is considered a principal axis which provides a dramatic approach to the town centre from the north and south.</w:t>
            </w:r>
            <w:r w:rsidRPr="00F416A8">
              <w:rPr>
                <w:rFonts w:cs="Arial"/>
                <w:color w:val="000000"/>
                <w:sz w:val="24"/>
              </w:rPr>
              <w:t xml:space="preserve"> </w:t>
            </w:r>
            <w:r w:rsidRPr="00F416A8">
              <w:rPr>
                <w:rFonts w:cs="Arial"/>
                <w:color w:val="000000"/>
                <w:szCs w:val="22"/>
              </w:rPr>
              <w:t xml:space="preserve">The formality of its layout and the buildings lining it are important elements of its overall character and appearance. The application property is located on the south-east side of Parkway. The rear of the property is visible from </w:t>
            </w:r>
            <w:proofErr w:type="spellStart"/>
            <w:r w:rsidRPr="00F416A8">
              <w:rPr>
                <w:rFonts w:cs="Arial"/>
                <w:color w:val="000000"/>
                <w:szCs w:val="22"/>
              </w:rPr>
              <w:t>Stanborough</w:t>
            </w:r>
            <w:proofErr w:type="spellEnd"/>
            <w:r w:rsidRPr="00F416A8">
              <w:rPr>
                <w:rFonts w:cs="Arial"/>
                <w:color w:val="000000"/>
                <w:szCs w:val="22"/>
              </w:rPr>
              <w:t xml:space="preserve"> Close which has single storey bungalows to the rear of the application site and glimpsing views can be made from Rooks Hill to the north-east. It is a mid-terrace property complete with red brick and a pantile roof that is typical of this part of the Garden City. </w:t>
            </w:r>
          </w:p>
          <w:p w14:paraId="3C29CE39" w14:textId="77777777" w:rsidR="00F416A8" w:rsidRPr="00F416A8" w:rsidRDefault="00F416A8" w:rsidP="00F416A8">
            <w:pPr>
              <w:autoSpaceDE w:val="0"/>
              <w:autoSpaceDN w:val="0"/>
              <w:adjustRightInd w:val="0"/>
              <w:rPr>
                <w:rFonts w:cs="Arial"/>
                <w:szCs w:val="22"/>
                <w:lang w:eastAsia="en-GB"/>
              </w:rPr>
            </w:pPr>
          </w:p>
          <w:p w14:paraId="2AD946E9" w14:textId="77777777" w:rsidR="00F416A8" w:rsidRPr="00F416A8" w:rsidRDefault="00F416A8" w:rsidP="00F416A8">
            <w:pPr>
              <w:autoSpaceDE w:val="0"/>
              <w:autoSpaceDN w:val="0"/>
              <w:adjustRightInd w:val="0"/>
              <w:rPr>
                <w:szCs w:val="22"/>
                <w:lang w:eastAsia="en-GB"/>
              </w:rPr>
            </w:pPr>
            <w:r w:rsidRPr="00F416A8">
              <w:rPr>
                <w:szCs w:val="22"/>
                <w:lang w:eastAsia="en-GB"/>
              </w:rPr>
              <w:lastRenderedPageBreak/>
              <w:t>The Council’s Supplementary Design Guidance 2005 (SDG) expands on Policies D1 and D2 of the District Plan and outlines, amongst other things, that d</w:t>
            </w:r>
            <w:r w:rsidRPr="00F416A8">
              <w:rPr>
                <w:rFonts w:cs="Arial"/>
                <w:szCs w:val="22"/>
                <w:lang w:eastAsia="en-GB"/>
              </w:rPr>
              <w:t xml:space="preserve">ormer windows should be contained within the roof slope, be subservient to the roof of the property and be in proportion to the existing fenestration of the property. They must not extend above the ridge height of the property and the dormer cheeks should be at least 1 metre from the flank wall of the property. </w:t>
            </w:r>
            <w:r w:rsidRPr="00F416A8">
              <w:rPr>
                <w:szCs w:val="22"/>
                <w:lang w:eastAsia="en-GB"/>
              </w:rPr>
              <w:t xml:space="preserve">The proposed dormers at the rear would be different sizes, but both would be of a similar style with a pitched roof. They would be set down from the main ridgeline and set in from the side boundaries, thus accord with the criteria in the SDG in this regard. However, given the sensitivity of the proposal in the Conservation Area, special regard must be given to whether the dormers and rooflights are reflective of the host dwelling and character of the surrounding area. The Council’s Conservation Officer has raised an objection to the proposal.  </w:t>
            </w:r>
          </w:p>
          <w:p w14:paraId="6C822931" w14:textId="77777777" w:rsidR="00F416A8" w:rsidRPr="00F416A8" w:rsidRDefault="00F416A8" w:rsidP="00F416A8">
            <w:pPr>
              <w:autoSpaceDE w:val="0"/>
              <w:autoSpaceDN w:val="0"/>
              <w:adjustRightInd w:val="0"/>
              <w:rPr>
                <w:rFonts w:cs="Arial"/>
                <w:color w:val="000000"/>
                <w:szCs w:val="22"/>
              </w:rPr>
            </w:pPr>
          </w:p>
          <w:p w14:paraId="587320C1" w14:textId="77777777" w:rsidR="00F416A8" w:rsidRPr="00F416A8" w:rsidRDefault="00F416A8" w:rsidP="00F416A8">
            <w:pPr>
              <w:autoSpaceDE w:val="0"/>
              <w:autoSpaceDN w:val="0"/>
              <w:adjustRightInd w:val="0"/>
              <w:rPr>
                <w:rFonts w:cs="Arial"/>
                <w:color w:val="000000"/>
                <w:szCs w:val="22"/>
              </w:rPr>
            </w:pPr>
            <w:r w:rsidRPr="00F416A8">
              <w:rPr>
                <w:rFonts w:cs="Arial"/>
                <w:color w:val="000000"/>
                <w:szCs w:val="22"/>
              </w:rPr>
              <w:t xml:space="preserve">The roof slopes along the stretch of Parkway where the application property is located are uninterrupted and thus have a degree of uniformity which form part of the original character of the Conservation Area. The proposed dormers with pitched roofs on the rear of the property would be partially visible from public vantage points on </w:t>
            </w:r>
            <w:proofErr w:type="spellStart"/>
            <w:r w:rsidRPr="00F416A8">
              <w:rPr>
                <w:rFonts w:cs="Arial"/>
                <w:color w:val="000000"/>
                <w:szCs w:val="22"/>
              </w:rPr>
              <w:t>Stanborough</w:t>
            </w:r>
            <w:proofErr w:type="spellEnd"/>
            <w:r w:rsidRPr="00F416A8">
              <w:rPr>
                <w:rFonts w:cs="Arial"/>
                <w:color w:val="000000"/>
                <w:szCs w:val="22"/>
              </w:rPr>
              <w:t xml:space="preserve"> Close and Rooks Hill, which detract from the largely uninterrupted appearance of the roofscapes in the area. In addition, the rooflights on the front elevation have not been sited to be sensitive to the character of the area, given their prominent position in the street scene. T</w:t>
            </w:r>
            <w:r w:rsidRPr="00F416A8">
              <w:rPr>
                <w:rFonts w:cs="Arial"/>
                <w:color w:val="000000"/>
                <w:szCs w:val="22"/>
                <w:lang w:eastAsia="en-GB"/>
              </w:rPr>
              <w:t xml:space="preserve">he addition of these features would undermine the character and appearance of the building and this important arterial route within the Conservation Area. </w:t>
            </w:r>
            <w:r w:rsidRPr="00F416A8">
              <w:rPr>
                <w:rFonts w:cs="Arial"/>
                <w:color w:val="000000"/>
                <w:szCs w:val="22"/>
              </w:rPr>
              <w:t>The proposal would therefore neither preserve nor enhance the character or appearance of the Conservation Area.</w:t>
            </w:r>
          </w:p>
          <w:p w14:paraId="53BC71F1" w14:textId="77777777" w:rsidR="00F416A8" w:rsidRPr="00F416A8" w:rsidRDefault="00F416A8" w:rsidP="00F416A8">
            <w:pPr>
              <w:autoSpaceDE w:val="0"/>
              <w:autoSpaceDN w:val="0"/>
              <w:adjustRightInd w:val="0"/>
              <w:rPr>
                <w:rFonts w:cs="Arial"/>
                <w:color w:val="000000"/>
                <w:sz w:val="24"/>
              </w:rPr>
            </w:pPr>
          </w:p>
          <w:p w14:paraId="7F6BFE9E" w14:textId="77777777" w:rsidR="00F416A8" w:rsidRPr="00F416A8" w:rsidRDefault="00F416A8" w:rsidP="00F416A8">
            <w:pPr>
              <w:autoSpaceDE w:val="0"/>
              <w:autoSpaceDN w:val="0"/>
              <w:adjustRightInd w:val="0"/>
              <w:rPr>
                <w:rFonts w:cs="Arial"/>
                <w:color w:val="000000"/>
                <w:szCs w:val="22"/>
              </w:rPr>
            </w:pPr>
            <w:r w:rsidRPr="00F416A8">
              <w:rPr>
                <w:rFonts w:cs="Arial"/>
                <w:color w:val="000000"/>
                <w:szCs w:val="22"/>
              </w:rPr>
              <w:t xml:space="preserve">In correspondence, the applicant’s agent has referred to dormer windows which have been approved on Parkway Close and </w:t>
            </w:r>
            <w:proofErr w:type="spellStart"/>
            <w:r w:rsidRPr="00F416A8">
              <w:rPr>
                <w:rFonts w:cs="Arial"/>
                <w:color w:val="000000"/>
                <w:szCs w:val="22"/>
              </w:rPr>
              <w:t>Colgrove</w:t>
            </w:r>
            <w:proofErr w:type="spellEnd"/>
            <w:r w:rsidRPr="00F416A8">
              <w:rPr>
                <w:rFonts w:cs="Arial"/>
                <w:color w:val="000000"/>
                <w:szCs w:val="22"/>
              </w:rPr>
              <w:t xml:space="preserve">. These roads stem off Parkway but are not positioned along the main road, therefore their existence does not constitute a reason for justifying these works as the circumstances are not the same. Another application has also been noted at 34 Parkway. This property is on the north end of Parkway in the town centre, which largely comprises neo-Georgian houses on the west side from Church Road to Bridge Road. These dwellings are among the earliest domestic buildings in the Garden City. Flat roofed front dormers, most of which are inset into the eaves, are characteristic of this part of Parkway. In comparison, the proposed dormers under this application would be finished with pitched roofs and are positioned in a row of terraced properties which have very few roof alterations. </w:t>
            </w:r>
          </w:p>
          <w:p w14:paraId="6D13EBF5" w14:textId="77777777" w:rsidR="00F416A8" w:rsidRPr="00F416A8" w:rsidRDefault="00F416A8" w:rsidP="00F416A8">
            <w:pPr>
              <w:autoSpaceDE w:val="0"/>
              <w:autoSpaceDN w:val="0"/>
              <w:adjustRightInd w:val="0"/>
              <w:rPr>
                <w:rFonts w:cs="Arial"/>
                <w:color w:val="000000"/>
                <w:szCs w:val="22"/>
              </w:rPr>
            </w:pPr>
          </w:p>
          <w:p w14:paraId="304FF9E2" w14:textId="77777777" w:rsidR="00F416A8" w:rsidRPr="00F416A8" w:rsidRDefault="00F416A8" w:rsidP="00F416A8">
            <w:pPr>
              <w:autoSpaceDE w:val="0"/>
              <w:autoSpaceDN w:val="0"/>
              <w:adjustRightInd w:val="0"/>
              <w:rPr>
                <w:rFonts w:cs="Arial"/>
                <w:color w:val="000000"/>
                <w:szCs w:val="22"/>
              </w:rPr>
            </w:pPr>
            <w:r w:rsidRPr="00F416A8">
              <w:rPr>
                <w:rFonts w:cs="Arial"/>
                <w:color w:val="000000"/>
                <w:szCs w:val="22"/>
                <w:lang w:eastAsia="en-GB"/>
              </w:rPr>
              <w:t xml:space="preserve">The development is considered to cause ‘less than substantial’ harm to the significance of the Conservation Area, therefore paragraph 202 of the NPPF should be applied. Consideration should also be given to paragraph 199 which affords great weight to the conservation of heritage assets and Section 72 of the Planning (Listed Buildings and Conservation Areas) Act 1990 which states that special attention shall be paid to the desirability of preserving or enhancing the character or appearance of Conservation Areas. It is viewed that there are no clear public benefits which would justify the harm to the Conservation Area on this occasion. </w:t>
            </w:r>
          </w:p>
          <w:p w14:paraId="073231E4" w14:textId="77777777" w:rsidR="00F416A8" w:rsidRPr="00F416A8" w:rsidRDefault="00F416A8" w:rsidP="00F416A8">
            <w:pPr>
              <w:rPr>
                <w:rFonts w:cs="Arial"/>
                <w:szCs w:val="22"/>
                <w:lang w:eastAsia="en-GB"/>
              </w:rPr>
            </w:pPr>
          </w:p>
          <w:p w14:paraId="2BB0A2B0"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In summary, the front rooflights and pitched roof dormer windows would disrupt the original character of the Welwyn Garden City Conservation Area. The proposal therefore represents poor quality design contrary to Policies D1 </w:t>
            </w:r>
            <w:r w:rsidRPr="00F416A8">
              <w:rPr>
                <w:rFonts w:cs="Arial"/>
                <w:szCs w:val="22"/>
                <w:lang w:eastAsia="en-GB"/>
              </w:rPr>
              <w:lastRenderedPageBreak/>
              <w:t>and D2 of the Welwyn Hatfield District Plan 2005, the Welwyn Hatfield Supplementary Design Guidance 2005, Policy SADM15 of the Welwyn Hatfield Draft Local Plan 2016 and the National Planning Policy Framework.</w:t>
            </w:r>
          </w:p>
          <w:p w14:paraId="325E0FE2" w14:textId="77777777" w:rsidR="00F416A8" w:rsidRPr="00F416A8" w:rsidRDefault="00F416A8" w:rsidP="00F416A8">
            <w:pPr>
              <w:spacing w:after="120"/>
              <w:rPr>
                <w:rFonts w:cs="Arial"/>
                <w:szCs w:val="22"/>
                <w:lang w:eastAsia="en-GB"/>
              </w:rPr>
            </w:pPr>
          </w:p>
        </w:tc>
      </w:tr>
      <w:tr w:rsidR="00F416A8" w:rsidRPr="00F416A8" w14:paraId="071315BC" w14:textId="77777777" w:rsidTr="00E63CDD">
        <w:tblPrEx>
          <w:tblLook w:val="01E0" w:firstRow="1" w:lastRow="1" w:firstColumn="1" w:lastColumn="1" w:noHBand="0" w:noVBand="0"/>
        </w:tblPrEx>
        <w:tc>
          <w:tcPr>
            <w:tcW w:w="2125" w:type="dxa"/>
            <w:gridSpan w:val="4"/>
            <w:shd w:val="clear" w:color="auto" w:fill="auto"/>
          </w:tcPr>
          <w:p w14:paraId="14777CCF" w14:textId="77777777" w:rsidR="00F416A8" w:rsidRPr="00F416A8" w:rsidRDefault="00F416A8" w:rsidP="00F416A8">
            <w:pPr>
              <w:rPr>
                <w:rFonts w:cs="Arial"/>
                <w:b/>
                <w:szCs w:val="22"/>
                <w:lang w:eastAsia="en-GB"/>
              </w:rPr>
            </w:pPr>
            <w:r w:rsidRPr="00F416A8">
              <w:rPr>
                <w:rFonts w:cs="Arial"/>
                <w:b/>
                <w:szCs w:val="22"/>
                <w:lang w:eastAsia="en-GB"/>
              </w:rPr>
              <w:lastRenderedPageBreak/>
              <w:t>Impact on neighbours</w:t>
            </w:r>
          </w:p>
        </w:tc>
        <w:tc>
          <w:tcPr>
            <w:tcW w:w="7906" w:type="dxa"/>
            <w:gridSpan w:val="3"/>
            <w:shd w:val="clear" w:color="auto" w:fill="auto"/>
          </w:tcPr>
          <w:p w14:paraId="46FBCBF1"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Policy D1 and the Supplementary Design Guidance (SDG 2005) provide the local policy framework for assessing the impact of development on the residential amenity and living conditions of neighbouring properties and aim to ensure adequate amenity for future occupiers of the proposed development. The NPPF is similar in these aims. No neighbour comments have been received. </w:t>
            </w:r>
          </w:p>
          <w:p w14:paraId="44CBC5FA" w14:textId="77777777" w:rsidR="00F416A8" w:rsidRPr="00F416A8" w:rsidRDefault="00F416A8" w:rsidP="00F416A8">
            <w:pPr>
              <w:autoSpaceDE w:val="0"/>
              <w:autoSpaceDN w:val="0"/>
              <w:adjustRightInd w:val="0"/>
              <w:rPr>
                <w:rFonts w:cs="Arial"/>
                <w:szCs w:val="22"/>
                <w:lang w:eastAsia="en-GB"/>
              </w:rPr>
            </w:pPr>
          </w:p>
          <w:p w14:paraId="5876D119"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The proposed development would create a slightly different form of overlooking due to the rooflights and dormers being positioned within the roof. However, this is not thought to impinge on the privacy of neighbours a significant amount more than the existing windows at first floor. As such, no concerns are raised </w:t>
            </w:r>
            <w:proofErr w:type="gramStart"/>
            <w:r w:rsidRPr="00F416A8">
              <w:rPr>
                <w:rFonts w:cs="Arial"/>
                <w:szCs w:val="22"/>
                <w:lang w:eastAsia="en-GB"/>
              </w:rPr>
              <w:t>with regard to</w:t>
            </w:r>
            <w:proofErr w:type="gramEnd"/>
            <w:r w:rsidRPr="00F416A8">
              <w:rPr>
                <w:rFonts w:cs="Arial"/>
                <w:szCs w:val="22"/>
                <w:lang w:eastAsia="en-GB"/>
              </w:rPr>
              <w:t xml:space="preserve"> neighbour amenity. </w:t>
            </w:r>
          </w:p>
          <w:p w14:paraId="61409EA5" w14:textId="77777777" w:rsidR="00F416A8" w:rsidRPr="00F416A8" w:rsidRDefault="00F416A8" w:rsidP="00F416A8">
            <w:pPr>
              <w:autoSpaceDE w:val="0"/>
              <w:autoSpaceDN w:val="0"/>
              <w:adjustRightInd w:val="0"/>
              <w:rPr>
                <w:rFonts w:cs="Arial"/>
                <w:szCs w:val="22"/>
                <w:lang w:eastAsia="en-GB"/>
              </w:rPr>
            </w:pPr>
          </w:p>
        </w:tc>
      </w:tr>
      <w:tr w:rsidR="00F416A8" w:rsidRPr="00F416A8" w14:paraId="7A029438" w14:textId="77777777" w:rsidTr="00E63CDD">
        <w:tblPrEx>
          <w:tblLook w:val="01E0" w:firstRow="1" w:lastRow="1" w:firstColumn="1" w:lastColumn="1" w:noHBand="0" w:noVBand="0"/>
        </w:tblPrEx>
        <w:tc>
          <w:tcPr>
            <w:tcW w:w="2125" w:type="dxa"/>
            <w:gridSpan w:val="4"/>
            <w:shd w:val="clear" w:color="auto" w:fill="auto"/>
          </w:tcPr>
          <w:p w14:paraId="02356F18" w14:textId="77777777" w:rsidR="00F416A8" w:rsidRPr="00F416A8" w:rsidRDefault="00F416A8" w:rsidP="00F416A8">
            <w:pPr>
              <w:rPr>
                <w:rFonts w:cs="Arial"/>
                <w:b/>
                <w:szCs w:val="22"/>
                <w:lang w:eastAsia="en-GB"/>
              </w:rPr>
            </w:pPr>
            <w:r w:rsidRPr="00F416A8">
              <w:rPr>
                <w:rFonts w:cs="Arial"/>
                <w:b/>
                <w:szCs w:val="22"/>
                <w:lang w:eastAsia="en-GB"/>
              </w:rPr>
              <w:t>Access, car parking and highway considerations</w:t>
            </w:r>
          </w:p>
        </w:tc>
        <w:tc>
          <w:tcPr>
            <w:tcW w:w="7906" w:type="dxa"/>
            <w:gridSpan w:val="3"/>
            <w:shd w:val="clear" w:color="auto" w:fill="auto"/>
          </w:tcPr>
          <w:p w14:paraId="56F39C1F"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Saved Policy M14 of the Welwyn Hatfield District Plan 2005 and the Parking</w:t>
            </w:r>
          </w:p>
          <w:p w14:paraId="5AB93824"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Standard Supplementary Planning Guidance (SPG 2004) use maximum</w:t>
            </w:r>
          </w:p>
          <w:p w14:paraId="0EAB969F"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parking standards that are not consistent with the NPPF and are, therefore, not afforded significant weight. </w:t>
            </w:r>
            <w:proofErr w:type="gramStart"/>
            <w:r w:rsidRPr="00F416A8">
              <w:rPr>
                <w:rFonts w:cs="Arial"/>
                <w:szCs w:val="22"/>
                <w:lang w:eastAsia="en-GB"/>
              </w:rPr>
              <w:t>In light of</w:t>
            </w:r>
            <w:proofErr w:type="gramEnd"/>
            <w:r w:rsidRPr="00F416A8">
              <w:rPr>
                <w:rFonts w:cs="Arial"/>
                <w:szCs w:val="22"/>
                <w:lang w:eastAsia="en-GB"/>
              </w:rPr>
              <w:t xml:space="preserve"> this situation the Council has produced</w:t>
            </w:r>
          </w:p>
          <w:p w14:paraId="67BE078F"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an Interim Policy for Car Parking Standards and Garage Sizes (2014) that</w:t>
            </w:r>
          </w:p>
          <w:p w14:paraId="0034E2D4"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states that parking provision will be assessed on a </w:t>
            </w:r>
            <w:proofErr w:type="gramStart"/>
            <w:r w:rsidRPr="00F416A8">
              <w:rPr>
                <w:rFonts w:cs="Arial"/>
                <w:szCs w:val="22"/>
                <w:lang w:eastAsia="en-GB"/>
              </w:rPr>
              <w:t>case by case</w:t>
            </w:r>
            <w:proofErr w:type="gramEnd"/>
            <w:r w:rsidRPr="00F416A8">
              <w:rPr>
                <w:rFonts w:cs="Arial"/>
                <w:szCs w:val="22"/>
                <w:lang w:eastAsia="en-GB"/>
              </w:rPr>
              <w:t xml:space="preserve"> basis and the existing maximum standards within the SPG should be taken as guidance only.</w:t>
            </w:r>
          </w:p>
          <w:p w14:paraId="07EE8562" w14:textId="77777777" w:rsidR="00F416A8" w:rsidRPr="00F416A8" w:rsidRDefault="00F416A8" w:rsidP="00F416A8">
            <w:pPr>
              <w:rPr>
                <w:rFonts w:cs="Arial"/>
                <w:szCs w:val="22"/>
                <w:lang w:eastAsia="en-GB"/>
              </w:rPr>
            </w:pPr>
          </w:p>
          <w:p w14:paraId="647FB414" w14:textId="77777777" w:rsidR="00F416A8" w:rsidRPr="00F416A8" w:rsidRDefault="00F416A8" w:rsidP="00F416A8">
            <w:pPr>
              <w:rPr>
                <w:rFonts w:cs="Arial"/>
                <w:szCs w:val="22"/>
                <w:lang w:eastAsia="en-GB"/>
              </w:rPr>
            </w:pPr>
            <w:r w:rsidRPr="00F416A8">
              <w:rPr>
                <w:rFonts w:cs="Arial"/>
                <w:szCs w:val="22"/>
                <w:lang w:eastAsia="en-GB"/>
              </w:rPr>
              <w:t xml:space="preserve">The existing floor plans are not labelled with the number of bedrooms but based on the layout there would appear to be 4 bedrooms at first floor. The proposed drawings indicate the loft conversion would create an additional bedroom. A property with four bedrooms or more would require 3 on-site parking spaces in accordance with the SPG. Whilst the plans do not clearly indicate the frontage of the property, observations made on site suggest that there is a driveway which can accommodate approximately two vehicles at present. The town centre and Welwyn Garden City train station are located approximately 0.6-0.8 miles away which is a reasonable cycling/walking distance and there are also bus stops located nearby on </w:t>
            </w:r>
            <w:proofErr w:type="spellStart"/>
            <w:r w:rsidRPr="00F416A8">
              <w:rPr>
                <w:rFonts w:cs="Arial"/>
                <w:szCs w:val="22"/>
                <w:lang w:eastAsia="en-GB"/>
              </w:rPr>
              <w:t>Stanborough</w:t>
            </w:r>
            <w:proofErr w:type="spellEnd"/>
            <w:r w:rsidRPr="00F416A8">
              <w:rPr>
                <w:rFonts w:cs="Arial"/>
                <w:szCs w:val="22"/>
                <w:lang w:eastAsia="en-GB"/>
              </w:rPr>
              <w:t xml:space="preserve"> Road. These provide alternative methods of travel to the private car. Furthermore, the site benefits from a sufficient frontage, </w:t>
            </w:r>
            <w:proofErr w:type="gramStart"/>
            <w:r w:rsidRPr="00F416A8">
              <w:rPr>
                <w:rFonts w:cs="Arial"/>
                <w:szCs w:val="22"/>
                <w:lang w:eastAsia="en-GB"/>
              </w:rPr>
              <w:t>where</w:t>
            </w:r>
            <w:proofErr w:type="gramEnd"/>
            <w:r w:rsidRPr="00F416A8">
              <w:rPr>
                <w:rFonts w:cs="Arial"/>
                <w:szCs w:val="22"/>
                <w:lang w:eastAsia="en-GB"/>
              </w:rPr>
              <w:t xml:space="preserve"> if necessary, additional spaces could be created in the future. </w:t>
            </w:r>
          </w:p>
          <w:p w14:paraId="122C4351" w14:textId="77777777" w:rsidR="00F416A8" w:rsidRPr="00F416A8" w:rsidRDefault="00F416A8" w:rsidP="00F416A8">
            <w:pPr>
              <w:rPr>
                <w:rFonts w:cs="Arial"/>
                <w:szCs w:val="22"/>
                <w:lang w:eastAsia="en-GB"/>
              </w:rPr>
            </w:pPr>
          </w:p>
          <w:p w14:paraId="471F3FBC" w14:textId="77777777" w:rsidR="00F416A8" w:rsidRPr="00F416A8" w:rsidRDefault="00F416A8" w:rsidP="00F416A8">
            <w:pPr>
              <w:rPr>
                <w:rFonts w:cs="Arial"/>
                <w:szCs w:val="22"/>
                <w:lang w:eastAsia="en-GB"/>
              </w:rPr>
            </w:pPr>
            <w:r w:rsidRPr="00F416A8">
              <w:rPr>
                <w:rFonts w:cs="Arial"/>
                <w:szCs w:val="22"/>
                <w:lang w:eastAsia="en-GB"/>
              </w:rPr>
              <w:t>It is therefore considered that sufficient parking would still be maintained on site relative to the size of the resultant building in accordance with Policy M14 of the District Plan, the SPG Parking Standards and the Council’s Interim Policy for Car Parking Standards.</w:t>
            </w:r>
          </w:p>
          <w:p w14:paraId="14DCE9D0" w14:textId="77777777" w:rsidR="00F416A8" w:rsidRPr="00F416A8" w:rsidRDefault="00F416A8" w:rsidP="00F416A8">
            <w:pPr>
              <w:spacing w:after="120"/>
              <w:rPr>
                <w:rFonts w:cs="Arial"/>
                <w:szCs w:val="22"/>
                <w:lang w:eastAsia="en-GB"/>
              </w:rPr>
            </w:pPr>
            <w:r w:rsidRPr="00F416A8">
              <w:rPr>
                <w:rFonts w:cs="Arial"/>
                <w:szCs w:val="22"/>
                <w:lang w:eastAsia="en-GB"/>
              </w:rPr>
              <w:t xml:space="preserve"> </w:t>
            </w:r>
          </w:p>
        </w:tc>
      </w:tr>
      <w:tr w:rsidR="00F416A8" w:rsidRPr="00F416A8" w14:paraId="3E28F342" w14:textId="77777777" w:rsidTr="00E63CDD">
        <w:tblPrEx>
          <w:tblLook w:val="01E0" w:firstRow="1" w:lastRow="1" w:firstColumn="1" w:lastColumn="1" w:noHBand="0" w:noVBand="0"/>
        </w:tblPrEx>
        <w:tc>
          <w:tcPr>
            <w:tcW w:w="10031" w:type="dxa"/>
            <w:gridSpan w:val="7"/>
            <w:shd w:val="clear" w:color="auto" w:fill="F2F2F2"/>
          </w:tcPr>
          <w:p w14:paraId="4FFD295F" w14:textId="77777777" w:rsidR="00F416A8" w:rsidRPr="00F416A8" w:rsidRDefault="00F416A8" w:rsidP="00F416A8">
            <w:pPr>
              <w:rPr>
                <w:rFonts w:cs="Arial"/>
                <w:b/>
                <w:szCs w:val="22"/>
                <w:lang w:eastAsia="en-GB"/>
              </w:rPr>
            </w:pPr>
            <w:r w:rsidRPr="00F416A8">
              <w:rPr>
                <w:rFonts w:cs="Arial"/>
                <w:b/>
                <w:szCs w:val="22"/>
                <w:lang w:eastAsia="en-GB"/>
              </w:rPr>
              <w:t>Conclusion</w:t>
            </w:r>
          </w:p>
        </w:tc>
      </w:tr>
      <w:tr w:rsidR="00F416A8" w:rsidRPr="00F416A8" w14:paraId="10549E76" w14:textId="77777777" w:rsidTr="00E63CDD">
        <w:tblPrEx>
          <w:tblLook w:val="01E0" w:firstRow="1" w:lastRow="1" w:firstColumn="1" w:lastColumn="1" w:noHBand="0" w:noVBand="0"/>
        </w:tblPrEx>
        <w:tc>
          <w:tcPr>
            <w:tcW w:w="10031" w:type="dxa"/>
            <w:gridSpan w:val="7"/>
            <w:shd w:val="clear" w:color="auto" w:fill="auto"/>
          </w:tcPr>
          <w:p w14:paraId="44090B56" w14:textId="77777777" w:rsidR="00F416A8" w:rsidRPr="00F416A8" w:rsidRDefault="00F416A8" w:rsidP="00F416A8">
            <w:pPr>
              <w:autoSpaceDE w:val="0"/>
              <w:autoSpaceDN w:val="0"/>
              <w:adjustRightInd w:val="0"/>
              <w:rPr>
                <w:rFonts w:cs="Arial"/>
                <w:szCs w:val="22"/>
                <w:lang w:eastAsia="en-GB"/>
              </w:rPr>
            </w:pPr>
            <w:r w:rsidRPr="00F416A8">
              <w:rPr>
                <w:rFonts w:cs="Arial"/>
                <w:szCs w:val="22"/>
                <w:lang w:eastAsia="en-GB"/>
              </w:rPr>
              <w:t xml:space="preserve">The development would also fail to preserve or enhance the character and appearance of the Welwyn Garden City Conservation Area and is therefore contrary to Policy D1 of the Welwyn Hatfield District Plan 2005, Policies SP9, SADM11 and SADM15 of the Emerging Welwyn Hatfield Local Plan 2016, the Supplementary Design Guidance </w:t>
            </w:r>
            <w:proofErr w:type="gramStart"/>
            <w:r w:rsidRPr="00F416A8">
              <w:rPr>
                <w:rFonts w:cs="Arial"/>
                <w:szCs w:val="22"/>
                <w:lang w:eastAsia="en-GB"/>
              </w:rPr>
              <w:t>2005</w:t>
            </w:r>
            <w:proofErr w:type="gramEnd"/>
            <w:r w:rsidRPr="00F416A8">
              <w:rPr>
                <w:rFonts w:cs="Arial"/>
                <w:szCs w:val="22"/>
                <w:lang w:eastAsia="en-GB"/>
              </w:rPr>
              <w:t xml:space="preserve"> and the provisions of the National Planning Policy Framework and contrary to the aims of Section 72 of the Planning (Listed Buildings and Conservation Areas) Act 1990.</w:t>
            </w:r>
          </w:p>
          <w:p w14:paraId="2A04AC59" w14:textId="77777777" w:rsidR="00F416A8" w:rsidRPr="00F416A8" w:rsidRDefault="00F416A8" w:rsidP="00F416A8">
            <w:pPr>
              <w:autoSpaceDE w:val="0"/>
              <w:autoSpaceDN w:val="0"/>
              <w:adjustRightInd w:val="0"/>
              <w:rPr>
                <w:rFonts w:cs="Arial"/>
                <w:szCs w:val="22"/>
                <w:lang w:eastAsia="en-GB"/>
              </w:rPr>
            </w:pPr>
          </w:p>
        </w:tc>
      </w:tr>
    </w:tbl>
    <w:p w14:paraId="194FDD53" w14:textId="77777777" w:rsidR="00F416A8" w:rsidRPr="00F416A8" w:rsidRDefault="00F416A8" w:rsidP="00F416A8">
      <w:pPr>
        <w:rPr>
          <w:rFonts w:cs="Arial"/>
          <w:szCs w:val="22"/>
          <w:lang w:eastAsia="en-GB"/>
        </w:rPr>
      </w:pPr>
      <w:r w:rsidRPr="00F416A8">
        <w:rPr>
          <w:rFonts w:cs="Arial"/>
          <w:szCs w:val="22"/>
          <w:lang w:eastAsia="en-GB"/>
        </w:rPr>
        <w:t xml:space="preserve"> </w:t>
      </w:r>
    </w:p>
    <w:p w14:paraId="62CAE4F0" w14:textId="4C943AD7" w:rsidR="00F416A8" w:rsidRPr="00F416A8" w:rsidRDefault="00F416A8" w:rsidP="00C9563E">
      <w:pPr>
        <w:rPr>
          <w:rFonts w:cs="Arial"/>
          <w:bCs/>
          <w:szCs w:val="22"/>
        </w:rPr>
      </w:pPr>
    </w:p>
    <w:p w14:paraId="1CBDB37D" w14:textId="77777777" w:rsidR="00F416A8" w:rsidRPr="00F416A8" w:rsidRDefault="00F416A8" w:rsidP="009C2649">
      <w:pPr>
        <w:ind w:left="567" w:hanging="567"/>
        <w:jc w:val="both"/>
        <w:rPr>
          <w:u w:val="single"/>
        </w:rPr>
      </w:pPr>
    </w:p>
    <w:p w14:paraId="349B9642" w14:textId="77777777" w:rsidR="00F416A8" w:rsidRPr="00F416A8" w:rsidRDefault="00F416A8" w:rsidP="004D029E">
      <w:pPr>
        <w:ind w:left="567" w:hanging="567"/>
      </w:pPr>
    </w:p>
    <w:p w14:paraId="4FE01F44" w14:textId="77777777" w:rsidR="00F416A8" w:rsidRPr="00F416A8" w:rsidRDefault="00F416A8" w:rsidP="004D029E">
      <w:pPr>
        <w:ind w:left="567" w:hanging="567"/>
        <w:rPr>
          <w:b/>
          <w:u w:val="single"/>
        </w:rPr>
      </w:pPr>
      <w:r w:rsidRPr="00F416A8">
        <w:rPr>
          <w:b/>
          <w:u w:val="single"/>
        </w:rPr>
        <w:t xml:space="preserve"> Reasons for Refusal: </w:t>
      </w:r>
    </w:p>
    <w:p w14:paraId="641C63DE" w14:textId="77777777" w:rsidR="00F416A8" w:rsidRPr="00F416A8" w:rsidRDefault="00F416A8" w:rsidP="004D029E">
      <w:pPr>
        <w:ind w:left="567" w:hanging="567"/>
        <w:rPr>
          <w:b/>
          <w:u w:val="single"/>
        </w:rPr>
      </w:pPr>
    </w:p>
    <w:p w14:paraId="303038A1" w14:textId="77777777" w:rsidR="00F416A8" w:rsidRPr="00F416A8" w:rsidRDefault="00F416A8" w:rsidP="009C2649">
      <w:pPr>
        <w:ind w:left="567" w:hanging="567"/>
        <w:jc w:val="both"/>
      </w:pPr>
      <w:r w:rsidRPr="00F416A8">
        <w:t>1.</w:t>
      </w:r>
      <w:r w:rsidRPr="00F416A8">
        <w:tab/>
        <w:t xml:space="preserve">The proposed dormers and rooflights would fail to preserve or enhance the character and appearance of this part of the Garden City and would harm the significance of the Conservation Area. Accordingly, the proposed development is contrary to the provisions of Section 72 of the Planning (Listed Buildings and Conservation Areas) Act 1990, Policies D1 and D2 of the District Plan 2005, the Welwyn Hatfield Supplementary Design Guidance 2005, Policies SP9 and SADM15 of the Welwyn Hatfield Draft Local Plan 2016 and the National Planning Policy Framework, </w:t>
      </w:r>
    </w:p>
    <w:p w14:paraId="44F9516E" w14:textId="77777777" w:rsidR="00F416A8" w:rsidRPr="00F416A8" w:rsidRDefault="00F416A8" w:rsidP="009C2649">
      <w:pPr>
        <w:ind w:left="567" w:hanging="567"/>
        <w:jc w:val="both"/>
      </w:pPr>
    </w:p>
    <w:p w14:paraId="2BB5B3BE" w14:textId="77777777" w:rsidR="00F416A8" w:rsidRPr="00F416A8" w:rsidRDefault="00F416A8" w:rsidP="00B11C4A">
      <w:pPr>
        <w:ind w:left="567"/>
        <w:jc w:val="both"/>
      </w:pPr>
      <w:r w:rsidRPr="00F416A8">
        <w:t>REFUSED DRAWING NUMBERS</w:t>
      </w:r>
    </w:p>
    <w:p w14:paraId="74BD3E23" w14:textId="77777777" w:rsidR="00F416A8" w:rsidRPr="00F416A8" w:rsidRDefault="00F416A8" w:rsidP="009C2649">
      <w:pPr>
        <w:ind w:left="567" w:hanging="567"/>
        <w:jc w:val="both"/>
      </w:pPr>
    </w:p>
    <w:p w14:paraId="1B05B4CF" w14:textId="77777777" w:rsidR="00F416A8" w:rsidRPr="00F416A8" w:rsidRDefault="00F416A8" w:rsidP="009C2649">
      <w:pPr>
        <w:ind w:left="567" w:hanging="567"/>
        <w:jc w:val="both"/>
      </w:pPr>
      <w:r w:rsidRPr="00F416A8">
        <w:t>2.</w:t>
      </w:r>
    </w:p>
    <w:tbl>
      <w:tblPr>
        <w:tblW w:w="8624" w:type="dxa"/>
        <w:tblInd w:w="675" w:type="dxa"/>
        <w:tblLayout w:type="fixed"/>
        <w:tblLook w:val="04A0" w:firstRow="1" w:lastRow="0" w:firstColumn="1" w:lastColumn="0" w:noHBand="0" w:noVBand="1"/>
      </w:tblPr>
      <w:tblGrid>
        <w:gridCol w:w="1418"/>
        <w:gridCol w:w="1417"/>
        <w:gridCol w:w="3119"/>
        <w:gridCol w:w="2670"/>
      </w:tblGrid>
      <w:tr w:rsidR="00F416A8" w:rsidRPr="00F416A8" w14:paraId="585944AE" w14:textId="77777777" w:rsidTr="00E63CDD">
        <w:tc>
          <w:tcPr>
            <w:tcW w:w="1418" w:type="dxa"/>
            <w:shd w:val="clear" w:color="auto" w:fill="auto"/>
          </w:tcPr>
          <w:p w14:paraId="4FBACDEA" w14:textId="77777777" w:rsidR="00F416A8" w:rsidRPr="00F416A8" w:rsidRDefault="00F416A8" w:rsidP="00F416A8">
            <w:pPr>
              <w:spacing w:after="160" w:line="259" w:lineRule="auto"/>
              <w:rPr>
                <w:rFonts w:eastAsia="Calibri" w:cs="Arial"/>
                <w:szCs w:val="22"/>
              </w:rPr>
            </w:pPr>
            <w:r w:rsidRPr="00F416A8">
              <w:rPr>
                <w:rFonts w:eastAsia="Calibri" w:cs="Arial"/>
                <w:b/>
                <w:szCs w:val="22"/>
              </w:rPr>
              <w:t>Plan Number</w:t>
            </w:r>
          </w:p>
        </w:tc>
        <w:tc>
          <w:tcPr>
            <w:tcW w:w="1417" w:type="dxa"/>
            <w:shd w:val="clear" w:color="auto" w:fill="auto"/>
          </w:tcPr>
          <w:p w14:paraId="4C7A7AB3" w14:textId="77777777" w:rsidR="00F416A8" w:rsidRPr="00F416A8" w:rsidRDefault="00F416A8" w:rsidP="00F416A8">
            <w:pPr>
              <w:spacing w:after="160" w:line="259" w:lineRule="auto"/>
              <w:rPr>
                <w:rFonts w:eastAsia="Calibri" w:cs="Arial"/>
                <w:b/>
                <w:szCs w:val="22"/>
              </w:rPr>
            </w:pPr>
            <w:r w:rsidRPr="00F416A8">
              <w:rPr>
                <w:rFonts w:eastAsia="Calibri" w:cs="Arial"/>
                <w:b/>
                <w:szCs w:val="22"/>
              </w:rPr>
              <w:t>Revision Number</w:t>
            </w:r>
          </w:p>
        </w:tc>
        <w:tc>
          <w:tcPr>
            <w:tcW w:w="3119" w:type="dxa"/>
            <w:shd w:val="clear" w:color="auto" w:fill="auto"/>
          </w:tcPr>
          <w:p w14:paraId="11C20610" w14:textId="77777777" w:rsidR="00F416A8" w:rsidRPr="00F416A8" w:rsidRDefault="00F416A8" w:rsidP="00F416A8">
            <w:pPr>
              <w:spacing w:after="160" w:line="259" w:lineRule="auto"/>
              <w:rPr>
                <w:rFonts w:eastAsia="Calibri" w:cs="Arial"/>
                <w:szCs w:val="22"/>
              </w:rPr>
            </w:pPr>
            <w:r w:rsidRPr="00F416A8">
              <w:rPr>
                <w:rFonts w:eastAsia="Calibri" w:cs="Arial"/>
                <w:b/>
                <w:szCs w:val="22"/>
              </w:rPr>
              <w:t>Details</w:t>
            </w:r>
          </w:p>
        </w:tc>
        <w:tc>
          <w:tcPr>
            <w:tcW w:w="2670" w:type="dxa"/>
          </w:tcPr>
          <w:p w14:paraId="5B6F4FE7" w14:textId="77777777" w:rsidR="00F416A8" w:rsidRPr="00F416A8" w:rsidRDefault="00F416A8" w:rsidP="00F416A8">
            <w:pPr>
              <w:spacing w:after="160" w:line="259" w:lineRule="auto"/>
              <w:rPr>
                <w:rFonts w:eastAsia="Calibri" w:cs="Arial"/>
                <w:szCs w:val="22"/>
              </w:rPr>
            </w:pPr>
            <w:r w:rsidRPr="00F416A8">
              <w:rPr>
                <w:rFonts w:eastAsia="Calibri" w:cs="Arial"/>
                <w:b/>
                <w:szCs w:val="22"/>
              </w:rPr>
              <w:t>Received Date</w:t>
            </w:r>
          </w:p>
        </w:tc>
      </w:tr>
      <w:tr w:rsidR="00F416A8" w:rsidRPr="00F416A8" w14:paraId="3DA7DA20" w14:textId="77777777" w:rsidTr="00E63CDD">
        <w:tc>
          <w:tcPr>
            <w:tcW w:w="1418" w:type="dxa"/>
            <w:shd w:val="clear" w:color="auto" w:fill="auto"/>
          </w:tcPr>
          <w:p w14:paraId="73ACB966" w14:textId="77777777" w:rsidR="00F416A8" w:rsidRPr="00F416A8" w:rsidRDefault="00F416A8" w:rsidP="00F416A8">
            <w:pPr>
              <w:spacing w:after="160" w:line="259" w:lineRule="auto"/>
              <w:rPr>
                <w:rFonts w:eastAsia="Calibri" w:cs="Arial"/>
                <w:szCs w:val="22"/>
              </w:rPr>
            </w:pPr>
            <w:r w:rsidRPr="00F416A8">
              <w:rPr>
                <w:rFonts w:eastAsia="Calibri" w:cs="Arial"/>
                <w:szCs w:val="22"/>
              </w:rPr>
              <w:t>2134-001</w:t>
            </w:r>
          </w:p>
        </w:tc>
        <w:tc>
          <w:tcPr>
            <w:tcW w:w="1417" w:type="dxa"/>
            <w:shd w:val="clear" w:color="auto" w:fill="auto"/>
          </w:tcPr>
          <w:p w14:paraId="4451775D" w14:textId="77777777" w:rsidR="00F416A8" w:rsidRPr="00F416A8" w:rsidRDefault="00F416A8" w:rsidP="00F416A8">
            <w:pPr>
              <w:spacing w:after="160" w:line="259" w:lineRule="auto"/>
              <w:rPr>
                <w:rFonts w:eastAsia="Calibri" w:cs="Arial"/>
                <w:szCs w:val="22"/>
              </w:rPr>
            </w:pPr>
          </w:p>
        </w:tc>
        <w:tc>
          <w:tcPr>
            <w:tcW w:w="3119" w:type="dxa"/>
            <w:shd w:val="clear" w:color="auto" w:fill="auto"/>
          </w:tcPr>
          <w:p w14:paraId="045D07A0" w14:textId="77777777" w:rsidR="00F416A8" w:rsidRPr="00F416A8" w:rsidRDefault="00F416A8" w:rsidP="00F416A8">
            <w:pPr>
              <w:spacing w:after="160" w:line="259" w:lineRule="auto"/>
              <w:rPr>
                <w:rFonts w:eastAsia="Calibri" w:cs="Arial"/>
                <w:b/>
                <w:szCs w:val="22"/>
              </w:rPr>
            </w:pPr>
            <w:r w:rsidRPr="00F416A8">
              <w:rPr>
                <w:rFonts w:eastAsia="Calibri" w:cs="Arial"/>
                <w:szCs w:val="22"/>
              </w:rPr>
              <w:t>Existing Plans &amp; Elevations</w:t>
            </w:r>
          </w:p>
        </w:tc>
        <w:tc>
          <w:tcPr>
            <w:tcW w:w="2670" w:type="dxa"/>
          </w:tcPr>
          <w:p w14:paraId="7FFA3A9F" w14:textId="77777777" w:rsidR="00F416A8" w:rsidRPr="00F416A8" w:rsidRDefault="00F416A8" w:rsidP="00F416A8">
            <w:pPr>
              <w:spacing w:after="160" w:line="259" w:lineRule="auto"/>
              <w:rPr>
                <w:rFonts w:eastAsia="Calibri" w:cs="Arial"/>
                <w:b/>
                <w:szCs w:val="22"/>
              </w:rPr>
            </w:pPr>
            <w:r w:rsidRPr="00F416A8">
              <w:rPr>
                <w:rFonts w:eastAsia="Calibri" w:cs="Arial"/>
                <w:szCs w:val="22"/>
              </w:rPr>
              <w:t>5 July 2021</w:t>
            </w:r>
          </w:p>
        </w:tc>
      </w:tr>
      <w:tr w:rsidR="00F416A8" w:rsidRPr="00F416A8" w14:paraId="1B12CAD4" w14:textId="77777777" w:rsidTr="00E63CDD">
        <w:tc>
          <w:tcPr>
            <w:tcW w:w="1418" w:type="dxa"/>
            <w:shd w:val="clear" w:color="auto" w:fill="auto"/>
          </w:tcPr>
          <w:p w14:paraId="6B67DAE9" w14:textId="77777777" w:rsidR="00F416A8" w:rsidRPr="00F416A8" w:rsidRDefault="00F416A8" w:rsidP="00F416A8">
            <w:pPr>
              <w:spacing w:after="160" w:line="259" w:lineRule="auto"/>
              <w:rPr>
                <w:rFonts w:eastAsia="Calibri" w:cs="Arial"/>
                <w:szCs w:val="22"/>
              </w:rPr>
            </w:pPr>
            <w:r w:rsidRPr="00F416A8">
              <w:rPr>
                <w:rFonts w:eastAsia="Calibri" w:cs="Arial"/>
                <w:szCs w:val="22"/>
              </w:rPr>
              <w:t>2134-002</w:t>
            </w:r>
          </w:p>
        </w:tc>
        <w:tc>
          <w:tcPr>
            <w:tcW w:w="1417" w:type="dxa"/>
            <w:shd w:val="clear" w:color="auto" w:fill="auto"/>
          </w:tcPr>
          <w:p w14:paraId="0A45FBF5" w14:textId="77777777" w:rsidR="00F416A8" w:rsidRPr="00F416A8" w:rsidRDefault="00F416A8" w:rsidP="00F416A8">
            <w:pPr>
              <w:spacing w:after="160" w:line="259" w:lineRule="auto"/>
              <w:rPr>
                <w:rFonts w:eastAsia="Calibri" w:cs="Arial"/>
                <w:szCs w:val="22"/>
              </w:rPr>
            </w:pPr>
          </w:p>
        </w:tc>
        <w:tc>
          <w:tcPr>
            <w:tcW w:w="3119" w:type="dxa"/>
            <w:shd w:val="clear" w:color="auto" w:fill="auto"/>
          </w:tcPr>
          <w:p w14:paraId="39DF9B47" w14:textId="77777777" w:rsidR="00F416A8" w:rsidRPr="00F416A8" w:rsidRDefault="00F416A8" w:rsidP="00F416A8">
            <w:pPr>
              <w:spacing w:after="160" w:line="259" w:lineRule="auto"/>
              <w:rPr>
                <w:rFonts w:eastAsia="Calibri" w:cs="Arial"/>
                <w:b/>
                <w:szCs w:val="22"/>
              </w:rPr>
            </w:pPr>
            <w:r w:rsidRPr="00F416A8">
              <w:rPr>
                <w:rFonts w:eastAsia="Calibri" w:cs="Arial"/>
                <w:szCs w:val="22"/>
              </w:rPr>
              <w:t>Proposed Plans &amp; Elevations</w:t>
            </w:r>
          </w:p>
        </w:tc>
        <w:tc>
          <w:tcPr>
            <w:tcW w:w="2670" w:type="dxa"/>
          </w:tcPr>
          <w:p w14:paraId="5254D240" w14:textId="77777777" w:rsidR="00F416A8" w:rsidRPr="00F416A8" w:rsidRDefault="00F416A8" w:rsidP="00F416A8">
            <w:pPr>
              <w:spacing w:after="160" w:line="259" w:lineRule="auto"/>
              <w:rPr>
                <w:rFonts w:eastAsia="Calibri" w:cs="Arial"/>
                <w:b/>
                <w:szCs w:val="22"/>
              </w:rPr>
            </w:pPr>
            <w:r w:rsidRPr="00F416A8">
              <w:rPr>
                <w:rFonts w:eastAsia="Calibri" w:cs="Arial"/>
                <w:szCs w:val="22"/>
              </w:rPr>
              <w:t>24 May 2021</w:t>
            </w:r>
          </w:p>
        </w:tc>
      </w:tr>
    </w:tbl>
    <w:p w14:paraId="44F638D9" w14:textId="58C70BD0" w:rsidR="00F416A8" w:rsidRPr="00F416A8" w:rsidRDefault="00F416A8" w:rsidP="004D029E">
      <w:pPr>
        <w:ind w:left="567" w:hanging="567"/>
      </w:pPr>
      <w:r w:rsidRPr="00F416A8">
        <w:rPr>
          <w:rFonts w:ascii="Calibri" w:eastAsia="Calibri" w:hAnsi="Calibri"/>
          <w:szCs w:val="22"/>
        </w:rPr>
        <w:t xml:space="preserve"> </w:t>
      </w:r>
    </w:p>
    <w:p w14:paraId="34EFB9E5" w14:textId="77777777" w:rsidR="00F416A8" w:rsidRPr="00F416A8" w:rsidRDefault="00F416A8" w:rsidP="004D029E">
      <w:pPr>
        <w:rPr>
          <w:rFonts w:cs="Arial"/>
          <w:bCs/>
          <w:szCs w:val="22"/>
        </w:rPr>
      </w:pPr>
      <w:r w:rsidRPr="00F416A8">
        <w:t xml:space="preserve"> </w:t>
      </w:r>
    </w:p>
    <w:p w14:paraId="6BBB5098" w14:textId="77777777" w:rsidR="00F416A8" w:rsidRPr="00F416A8" w:rsidRDefault="00F416A8" w:rsidP="00C9563E">
      <w:pPr>
        <w:rPr>
          <w:rFonts w:cs="Arial"/>
          <w:bCs/>
          <w:szCs w:val="22"/>
        </w:rPr>
      </w:pPr>
    </w:p>
    <w:p w14:paraId="0C0FBF39" w14:textId="77777777" w:rsidR="00F416A8" w:rsidRPr="00F416A8" w:rsidRDefault="00F416A8" w:rsidP="008D2241">
      <w:pPr>
        <w:ind w:left="567" w:hanging="567"/>
      </w:pPr>
      <w:r w:rsidRPr="00F416A8">
        <w:t>1.</w:t>
      </w:r>
      <w:r w:rsidRPr="00F416A8">
        <w:tab/>
        <w:t>POSITIVE AND PROACTIVE STATEMENT</w:t>
      </w:r>
    </w:p>
    <w:p w14:paraId="5327A5AD" w14:textId="77777777" w:rsidR="00F416A8" w:rsidRPr="00F416A8" w:rsidRDefault="00F416A8" w:rsidP="008D2241">
      <w:pPr>
        <w:ind w:left="567" w:hanging="567"/>
      </w:pPr>
      <w:r w:rsidRPr="00F416A8">
        <w:tab/>
      </w:r>
    </w:p>
    <w:p w14:paraId="330BD1FD" w14:textId="77777777" w:rsidR="00F416A8" w:rsidRPr="00F416A8" w:rsidRDefault="00F416A8" w:rsidP="00596B1D">
      <w:pPr>
        <w:ind w:left="567" w:hanging="567"/>
        <w:rPr>
          <w:rFonts w:cs="Arial"/>
          <w:bCs/>
          <w:szCs w:val="22"/>
        </w:rPr>
      </w:pPr>
      <w:r w:rsidRPr="00F416A8">
        <w:tab/>
        <w:t xml:space="preserve">The decision has been made </w:t>
      </w:r>
      <w:proofErr w:type="gramStart"/>
      <w:r w:rsidRPr="00F416A8">
        <w:t>taking into account</w:t>
      </w:r>
      <w:proofErr w:type="gramEnd"/>
      <w:r w:rsidRPr="00F416A8">
        <w: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14:paraId="67839F37" w14:textId="77777777" w:rsidR="00F416A8" w:rsidRPr="00F416A8" w:rsidRDefault="00F416A8"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14:paraId="3F7FE5AF" w14:textId="77777777" w:rsidR="00F416A8" w:rsidRPr="00F416A8" w:rsidRDefault="00F416A8" w:rsidP="002D351D">
      <w:pPr>
        <w:tabs>
          <w:tab w:val="left" w:pos="567"/>
        </w:tabs>
        <w:ind w:left="567" w:hanging="567"/>
        <w:rPr>
          <w:rFonts w:cs="Arial"/>
          <w:bCs/>
          <w:szCs w:val="22"/>
        </w:rPr>
      </w:pPr>
    </w:p>
    <w:p w14:paraId="289B4936" w14:textId="77777777" w:rsidR="00F416A8" w:rsidRPr="00F416A8" w:rsidRDefault="00F416A8" w:rsidP="002D351D">
      <w:pPr>
        <w:tabs>
          <w:tab w:val="left" w:pos="567"/>
        </w:tabs>
        <w:ind w:left="567" w:hanging="567"/>
        <w:rPr>
          <w:rFonts w:cs="Arial"/>
          <w:bCs/>
          <w:szCs w:val="22"/>
        </w:rPr>
      </w:pPr>
    </w:p>
    <w:p w14:paraId="68545FE7" w14:textId="77777777" w:rsidR="00F416A8" w:rsidRPr="00F416A8" w:rsidRDefault="00F416A8" w:rsidP="00E72CBB">
      <w:pPr>
        <w:jc w:val="both"/>
        <w:rPr>
          <w:rFonts w:cs="Arial"/>
          <w:b/>
          <w:bCs/>
          <w:szCs w:val="22"/>
        </w:rPr>
      </w:pPr>
      <w:r w:rsidRPr="00F416A8">
        <w:rPr>
          <w:rFonts w:cs="Arial"/>
          <w:b/>
          <w:bCs/>
          <w:szCs w:val="22"/>
          <w:u w:val="single"/>
        </w:rPr>
        <w:t>Determined By</w:t>
      </w:r>
      <w:r w:rsidRPr="00F416A8">
        <w:rPr>
          <w:rFonts w:cs="Arial"/>
          <w:b/>
          <w:bCs/>
          <w:szCs w:val="22"/>
        </w:rPr>
        <w:t>:</w:t>
      </w:r>
    </w:p>
    <w:p w14:paraId="07EFFF1B" w14:textId="77777777" w:rsidR="00F416A8" w:rsidRPr="00F416A8" w:rsidRDefault="00F416A8" w:rsidP="00E72CBB">
      <w:pPr>
        <w:jc w:val="both"/>
        <w:rPr>
          <w:rFonts w:cs="Arial"/>
          <w:b/>
          <w:bCs/>
          <w:szCs w:val="22"/>
        </w:rPr>
      </w:pPr>
    </w:p>
    <w:p w14:paraId="1D1A6EA6" w14:textId="77777777" w:rsidR="00F416A8" w:rsidRPr="00F416A8" w:rsidRDefault="00F416A8" w:rsidP="00E72CBB">
      <w:pPr>
        <w:jc w:val="both"/>
        <w:rPr>
          <w:rFonts w:cs="Arial"/>
          <w:bCs/>
          <w:szCs w:val="22"/>
        </w:rPr>
      </w:pPr>
      <w:r w:rsidRPr="00F416A8">
        <w:rPr>
          <w:rFonts w:cs="Arial"/>
          <w:bCs/>
          <w:szCs w:val="22"/>
        </w:rPr>
        <w:t>Mr Derek Lawrence</w:t>
      </w:r>
    </w:p>
    <w:p w14:paraId="1A13A6DB" w14:textId="77777777" w:rsidR="00F416A8" w:rsidRPr="00F416A8" w:rsidRDefault="00F416A8" w:rsidP="00E72CBB">
      <w:pPr>
        <w:jc w:val="both"/>
        <w:rPr>
          <w:rFonts w:cs="Arial"/>
          <w:bCs/>
          <w:szCs w:val="22"/>
        </w:rPr>
      </w:pPr>
      <w:r w:rsidRPr="00F416A8">
        <w:rPr>
          <w:rFonts w:cs="Arial"/>
          <w:bCs/>
          <w:szCs w:val="22"/>
        </w:rPr>
        <w:t>26 October 2021</w:t>
      </w:r>
    </w:p>
    <w:p w14:paraId="7EF4DD25" w14:textId="77777777" w:rsidR="00F416A8" w:rsidRPr="00F416A8" w:rsidRDefault="00F416A8" w:rsidP="00E72CBB">
      <w:pPr>
        <w:jc w:val="both"/>
        <w:rPr>
          <w:rFonts w:cs="Arial"/>
          <w:bCs/>
          <w:szCs w:val="22"/>
        </w:rPr>
      </w:pPr>
    </w:p>
    <w:p w14:paraId="12D4E07C" w14:textId="77777777" w:rsidR="00F416A8" w:rsidRPr="00F416A8" w:rsidRDefault="00F416A8" w:rsidP="00C9563E">
      <w:pPr>
        <w:jc w:val="both"/>
        <w:rPr>
          <w:rFonts w:cs="Arial"/>
          <w:szCs w:val="22"/>
        </w:rPr>
      </w:pPr>
    </w:p>
    <w:p w14:paraId="0BB4BB42" w14:textId="77777777" w:rsidR="00F416A8" w:rsidRPr="00F416A8" w:rsidRDefault="00F416A8" w:rsidP="00C9563E">
      <w:pPr>
        <w:jc w:val="both"/>
        <w:rPr>
          <w:rFonts w:cs="Arial"/>
        </w:rPr>
      </w:pPr>
    </w:p>
    <w:p w14:paraId="2F808E05" w14:textId="77777777" w:rsidR="00F416A8" w:rsidRPr="00F416A8" w:rsidRDefault="00F416A8" w:rsidP="00C9563E">
      <w:pPr>
        <w:sectPr w:rsidR="00F416A8" w:rsidRPr="00F416A8" w:rsidSect="00F416A8">
          <w:footerReference w:type="default" r:id="rId9"/>
          <w:headerReference w:type="first" r:id="rId10"/>
          <w:pgSz w:w="11906" w:h="16838"/>
          <w:pgMar w:top="1259" w:right="1797" w:bottom="1440" w:left="1418" w:header="510" w:footer="709" w:gutter="0"/>
          <w:pgNumType w:start="1"/>
          <w:cols w:space="708"/>
          <w:titlePg/>
          <w:docGrid w:linePitch="360"/>
        </w:sectPr>
      </w:pPr>
    </w:p>
    <w:p w14:paraId="71D534BF" w14:textId="77777777" w:rsidR="00F416A8" w:rsidRPr="00F416A8" w:rsidRDefault="00F416A8" w:rsidP="00C9563E"/>
    <w:sectPr w:rsidR="00F416A8" w:rsidRPr="00F416A8" w:rsidSect="00F416A8">
      <w:footerReference w:type="default" r:id="rId11"/>
      <w:headerReference w:type="first" r:id="rId12"/>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E8E4" w14:textId="77777777" w:rsidR="00F416A8" w:rsidRDefault="00F416A8">
      <w:r>
        <w:separator/>
      </w:r>
    </w:p>
  </w:endnote>
  <w:endnote w:type="continuationSeparator" w:id="0">
    <w:p w14:paraId="3D9207A4" w14:textId="77777777" w:rsidR="00F416A8" w:rsidRDefault="00F4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BEC1" w14:textId="77777777" w:rsidR="00F416A8" w:rsidRDefault="00F416A8">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09F" w14:textId="77777777"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0D3A">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A0D3A">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207F" w14:textId="77777777" w:rsidR="00F416A8" w:rsidRDefault="00F416A8">
      <w:r>
        <w:separator/>
      </w:r>
    </w:p>
  </w:footnote>
  <w:footnote w:type="continuationSeparator" w:id="0">
    <w:p w14:paraId="7DD2D7B9" w14:textId="77777777" w:rsidR="00F416A8" w:rsidRDefault="00F4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9CB7" w14:textId="77777777" w:rsidR="00F416A8" w:rsidRDefault="00B11C4A">
    <w:pPr>
      <w:pStyle w:val="Header"/>
    </w:pPr>
    <w:r>
      <w:fldChar w:fldCharType="begin"/>
    </w:r>
    <w:r>
      <w:instrText xml:space="preserve"> </w:instrText>
    </w:r>
    <w:r>
      <w:instrText>INCLUDEPICTURE  "\\\\sween\\planning_def\\Documents\\Planning\\Test\\Masters\\WHBC logo.jpg" \* MERGEFORMATINET</w:instrText>
    </w:r>
    <w:r>
      <w:instrText xml:space="preserve"> </w:instrText>
    </w:r>
    <w:r>
      <w:fldChar w:fldCharType="separate"/>
    </w:r>
    <w:r>
      <w:pict w14:anchorId="3D7D9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7.75pt">
          <v:imagedata r:id="rId1" r:href="rId2"/>
        </v:shape>
      </w:pic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3C9F" w14:textId="77777777" w:rsidR="00D32912" w:rsidRDefault="00D32912">
    <w:pPr>
      <w:pStyle w:val="Header"/>
    </w:pPr>
    <w:r>
      <w:fldChar w:fldCharType="begin"/>
    </w:r>
    <w:r w:rsidR="001D4796">
      <w:instrText xml:space="preserve"> INCLUDEPICTURE "../Test/Masters/WHBC%20logo.jpg" \* MERGEFORMAT </w:instrText>
    </w:r>
    <w:r>
      <w:fldChar w:fldCharType="separate"/>
    </w:r>
    <w:r w:rsidR="00B11C4A">
      <w:fldChar w:fldCharType="begin"/>
    </w:r>
    <w:r w:rsidR="00B11C4A">
      <w:instrText xml:space="preserve"> </w:instrText>
    </w:r>
    <w:r w:rsidR="00B11C4A">
      <w:instrText>INCLUDEPICTURE  "\\\\sween\\planning_def\\Documents\\Planning\\Test\\Masters\\WHBC logo.jpg" \* MERGEFORMATINET</w:instrText>
    </w:r>
    <w:r w:rsidR="00B11C4A">
      <w:instrText xml:space="preserve"> </w:instrText>
    </w:r>
    <w:r w:rsidR="00B11C4A">
      <w:fldChar w:fldCharType="separate"/>
    </w:r>
    <w:r w:rsidR="00B11C4A">
      <w:pict w14:anchorId="0328E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57.75pt">
          <v:imagedata r:id="rId2" r:href="rId1"/>
        </v:shape>
      </w:pict>
    </w:r>
    <w:r w:rsidR="00B11C4A">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noPunctuationKerning/>
  <w:characterSpacingControl w:val="doNotCompress"/>
  <w:hdrShapeDefaults>
    <o:shapedefaults v:ext="edit" spidmax="409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D2241"/>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1C4A"/>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16A8"/>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88EE280"/>
  <w15:chartTrackingRefBased/>
  <w15:docId w15:val="{9A7BA842-62DC-46B3-AEDA-82A21A3A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2.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5</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13314</CharactersWithSpaces>
  <SharedDoc>false</SharedDoc>
  <HLinks>
    <vt:vector size="6" baseType="variant">
      <vt:variant>
        <vt:i4>6881377</vt:i4>
      </vt:variant>
      <vt:variant>
        <vt:i4>28627</vt:i4>
      </vt:variant>
      <vt:variant>
        <vt:i4>1025</vt:i4>
      </vt:variant>
      <vt:variant>
        <vt:i4>1</vt:i4>
      </vt:variant>
      <vt:variant>
        <vt:lpwstr>\\tamworth\planning_def\wp\Test\Masters\WHBC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Derek Lawrence</cp:lastModifiedBy>
  <cp:revision>2</cp:revision>
  <cp:lastPrinted>2015-01-29T11:56:00Z</cp:lastPrinted>
  <dcterms:created xsi:type="dcterms:W3CDTF">2021-10-26T11:03:00Z</dcterms:created>
  <dcterms:modified xsi:type="dcterms:W3CDTF">2021-10-26T11:09:00Z</dcterms:modified>
</cp:coreProperties>
</file>