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39" w:rsidRPr="00710839" w:rsidRDefault="00710839" w:rsidP="00710839">
      <w:pPr>
        <w:jc w:val="center"/>
        <w:rPr>
          <w:b/>
          <w:u w:val="single"/>
        </w:rPr>
      </w:pPr>
      <w:r w:rsidRPr="00710839">
        <w:rPr>
          <w:b/>
          <w:u w:val="single"/>
        </w:rPr>
        <w:t>Planning Consultation Memo</w:t>
      </w:r>
    </w:p>
    <w:p w:rsidR="00710839" w:rsidRDefault="00710839" w:rsidP="00BD1138"/>
    <w:tbl>
      <w:tblPr>
        <w:tblStyle w:val="TableGrid"/>
        <w:tblW w:w="0" w:type="auto"/>
        <w:jc w:val="center"/>
        <w:tblInd w:w="-1047" w:type="dxa"/>
        <w:tblLook w:val="04A0"/>
      </w:tblPr>
      <w:tblGrid>
        <w:gridCol w:w="3357"/>
        <w:gridCol w:w="2310"/>
        <w:gridCol w:w="3237"/>
      </w:tblGrid>
      <w:tr w:rsidR="00F21008" w:rsidTr="00D75AA2">
        <w:trPr>
          <w:jc w:val="center"/>
        </w:trPr>
        <w:tc>
          <w:tcPr>
            <w:tcW w:w="3357" w:type="dxa"/>
          </w:tcPr>
          <w:p w:rsidR="00F21008" w:rsidRPr="00F21008" w:rsidRDefault="00F21008" w:rsidP="00BD1138">
            <w:pPr>
              <w:rPr>
                <w:b/>
              </w:rPr>
            </w:pPr>
            <w:r w:rsidRPr="00F21008">
              <w:rPr>
                <w:b/>
              </w:rPr>
              <w:t>Date</w:t>
            </w:r>
          </w:p>
        </w:tc>
        <w:tc>
          <w:tcPr>
            <w:tcW w:w="2310" w:type="dxa"/>
          </w:tcPr>
          <w:p w:rsidR="00F21008" w:rsidRPr="00F21008" w:rsidRDefault="00F21008" w:rsidP="00BD1138">
            <w:pPr>
              <w:rPr>
                <w:b/>
              </w:rPr>
            </w:pPr>
            <w:r w:rsidRPr="00F21008">
              <w:rPr>
                <w:b/>
              </w:rPr>
              <w:t>Planning Officer</w:t>
            </w:r>
          </w:p>
        </w:tc>
        <w:tc>
          <w:tcPr>
            <w:tcW w:w="3237" w:type="dxa"/>
          </w:tcPr>
          <w:p w:rsidR="00F21008" w:rsidRPr="00F21008" w:rsidRDefault="00F21008" w:rsidP="00BD1138">
            <w:pPr>
              <w:rPr>
                <w:b/>
              </w:rPr>
            </w:pPr>
            <w:r w:rsidRPr="00F21008">
              <w:rPr>
                <w:b/>
              </w:rPr>
              <w:t>Environmental Health Officer</w:t>
            </w:r>
          </w:p>
        </w:tc>
      </w:tr>
      <w:tr w:rsidR="00F21008" w:rsidTr="00D75AA2">
        <w:trPr>
          <w:jc w:val="center"/>
        </w:trPr>
        <w:tc>
          <w:tcPr>
            <w:tcW w:w="3357" w:type="dxa"/>
          </w:tcPr>
          <w:p w:rsidR="00F21008" w:rsidRDefault="001F3BF0" w:rsidP="00BD1138">
            <w:r>
              <w:t>16/10/15</w:t>
            </w:r>
          </w:p>
        </w:tc>
        <w:tc>
          <w:tcPr>
            <w:tcW w:w="2310" w:type="dxa"/>
          </w:tcPr>
          <w:p w:rsidR="00F21008" w:rsidRDefault="001F3BF0" w:rsidP="00BD1138">
            <w:r>
              <w:t>Matthew Heron</w:t>
            </w:r>
          </w:p>
        </w:tc>
        <w:tc>
          <w:tcPr>
            <w:tcW w:w="3237" w:type="dxa"/>
          </w:tcPr>
          <w:p w:rsidR="00F21008" w:rsidRDefault="00131DD0" w:rsidP="00BD1138">
            <w:r>
              <w:t>Karl Riahi</w:t>
            </w:r>
          </w:p>
        </w:tc>
      </w:tr>
      <w:tr w:rsidR="00F21008" w:rsidTr="00D75AA2">
        <w:trPr>
          <w:jc w:val="center"/>
        </w:trPr>
        <w:tc>
          <w:tcPr>
            <w:tcW w:w="3357" w:type="dxa"/>
          </w:tcPr>
          <w:p w:rsidR="00F21008" w:rsidRPr="00F21008" w:rsidRDefault="00F21008" w:rsidP="00BD1138">
            <w:pPr>
              <w:rPr>
                <w:b/>
              </w:rPr>
            </w:pPr>
            <w:r w:rsidRPr="00F21008">
              <w:rPr>
                <w:b/>
              </w:rPr>
              <w:t>Planning Application Number</w:t>
            </w:r>
          </w:p>
        </w:tc>
        <w:tc>
          <w:tcPr>
            <w:tcW w:w="2310" w:type="dxa"/>
          </w:tcPr>
          <w:p w:rsidR="00F21008" w:rsidRDefault="00F21008" w:rsidP="00BD1138">
            <w:r w:rsidRPr="00F21008">
              <w:rPr>
                <w:b/>
              </w:rPr>
              <w:t>Worksheet Number</w:t>
            </w:r>
          </w:p>
        </w:tc>
        <w:tc>
          <w:tcPr>
            <w:tcW w:w="3237" w:type="dxa"/>
          </w:tcPr>
          <w:p w:rsidR="00F21008" w:rsidRDefault="00F21008" w:rsidP="00BD1138"/>
        </w:tc>
      </w:tr>
      <w:tr w:rsidR="00F21008" w:rsidTr="00D75AA2">
        <w:trPr>
          <w:jc w:val="center"/>
        </w:trPr>
        <w:tc>
          <w:tcPr>
            <w:tcW w:w="3357" w:type="dxa"/>
          </w:tcPr>
          <w:p w:rsidR="00F21008" w:rsidRDefault="001F3BF0" w:rsidP="00BD1138">
            <w:r w:rsidRPr="001F3BF0">
              <w:t>6/2015/1673/VAR</w:t>
            </w:r>
          </w:p>
        </w:tc>
        <w:tc>
          <w:tcPr>
            <w:tcW w:w="2310" w:type="dxa"/>
          </w:tcPr>
          <w:p w:rsidR="00F21008" w:rsidRDefault="00131DD0" w:rsidP="001F3BF0">
            <w:r>
              <w:t>WK/</w:t>
            </w:r>
            <w:r w:rsidR="006E691B">
              <w:t>7</w:t>
            </w:r>
            <w:r w:rsidR="001F3BF0">
              <w:t>3075</w:t>
            </w:r>
          </w:p>
        </w:tc>
        <w:tc>
          <w:tcPr>
            <w:tcW w:w="3237" w:type="dxa"/>
          </w:tcPr>
          <w:p w:rsidR="00F21008" w:rsidRDefault="00F21008" w:rsidP="00BD1138"/>
        </w:tc>
      </w:tr>
    </w:tbl>
    <w:p w:rsidR="00710839" w:rsidRDefault="00710839" w:rsidP="00BD1138"/>
    <w:sdt>
      <w:sdtPr>
        <w:id w:val="22264396"/>
        <w:docPartObj>
          <w:docPartGallery w:val="Cover Pages"/>
          <w:docPartUnique/>
        </w:docPartObj>
      </w:sdtPr>
      <w:sdtContent>
        <w:p w:rsidR="00DB45BA" w:rsidRPr="00F21008" w:rsidRDefault="00710839" w:rsidP="00BD1138">
          <w:pPr>
            <w:rPr>
              <w:b/>
            </w:rPr>
          </w:pPr>
          <w:r w:rsidRPr="00F21008">
            <w:rPr>
              <w:b/>
            </w:rPr>
            <w:t>Address:</w:t>
          </w:r>
          <w:r w:rsidR="00131DD0">
            <w:rPr>
              <w:b/>
            </w:rPr>
            <w:t xml:space="preserve"> </w:t>
          </w:r>
          <w:proofErr w:type="spellStart"/>
          <w:r w:rsidR="001F3BF0" w:rsidRPr="001F3BF0">
            <w:t>Aldi</w:t>
          </w:r>
          <w:proofErr w:type="spellEnd"/>
          <w:r w:rsidR="001F3BF0" w:rsidRPr="001F3BF0">
            <w:t xml:space="preserve">, 11 </w:t>
          </w:r>
          <w:proofErr w:type="spellStart"/>
          <w:r w:rsidR="001F3BF0" w:rsidRPr="001F3BF0">
            <w:t>Parkhouse</w:t>
          </w:r>
          <w:proofErr w:type="spellEnd"/>
          <w:r w:rsidR="001F3BF0" w:rsidRPr="001F3BF0">
            <w:t xml:space="preserve"> Court, Hatfield, Hertfordshire, AL10 9RQ</w:t>
          </w:r>
        </w:p>
        <w:p w:rsidR="00710839" w:rsidRPr="00F21008" w:rsidRDefault="00710839" w:rsidP="006E691B">
          <w:pPr>
            <w:autoSpaceDE w:val="0"/>
            <w:autoSpaceDN w:val="0"/>
            <w:adjustRightInd w:val="0"/>
            <w:rPr>
              <w:b/>
            </w:rPr>
          </w:pPr>
          <w:r w:rsidRPr="00F21008">
            <w:rPr>
              <w:b/>
            </w:rPr>
            <w:t>Application Details:</w:t>
          </w:r>
          <w:r w:rsidR="00131DD0">
            <w:rPr>
              <w:b/>
            </w:rPr>
            <w:t xml:space="preserve"> </w:t>
          </w:r>
          <w:r w:rsidR="001F3BF0" w:rsidRPr="001F3BF0">
            <w:rPr>
              <w:rFonts w:ascii="Arial" w:hAnsi="Arial" w:cs="Arial"/>
              <w:szCs w:val="24"/>
            </w:rPr>
            <w:t>Variation of condition 4 (delivery hours) on planning permission</w:t>
          </w:r>
        </w:p>
        <w:p w:rsidR="00710839" w:rsidRDefault="00710839" w:rsidP="00BD1138"/>
        <w:p w:rsidR="00710839" w:rsidRPr="008447F7" w:rsidRDefault="00710839" w:rsidP="00BD1138">
          <w:pPr>
            <w:rPr>
              <w:b/>
              <w:szCs w:val="24"/>
              <w:u w:val="single"/>
            </w:rPr>
          </w:pPr>
          <w:r w:rsidRPr="008447F7">
            <w:rPr>
              <w:b/>
              <w:u w:val="single"/>
            </w:rPr>
            <w:t>Considerations relevant to Environmental Health</w:t>
          </w:r>
          <w:r w:rsidR="00F21008" w:rsidRPr="008447F7">
            <w:rPr>
              <w:b/>
              <w:u w:val="single"/>
            </w:rPr>
            <w:t xml:space="preserve"> for this application</w:t>
          </w:r>
        </w:p>
        <w:p w:rsidR="00E532BF" w:rsidRPr="00E532BF" w:rsidRDefault="00E532BF"/>
        <w:p w:rsidR="00DE6F0E" w:rsidRDefault="006E691B" w:rsidP="00713619">
          <w:r>
            <w:t xml:space="preserve">Noise </w:t>
          </w:r>
          <w:r w:rsidR="001F3BF0">
            <w:t>disturbance due to deliveries outside of conditioned hours</w:t>
          </w:r>
        </w:p>
        <w:p w:rsidR="00DE6F0E" w:rsidRDefault="00DE6F0E" w:rsidP="00710839"/>
        <w:p w:rsidR="00DB45BA" w:rsidRDefault="00F21008" w:rsidP="00710839">
          <w:r w:rsidRPr="008447F7">
            <w:rPr>
              <w:b/>
              <w:u w:val="single"/>
            </w:rPr>
            <w:t>Description of site and discussion of considerations</w:t>
          </w:r>
        </w:p>
      </w:sdtContent>
    </w:sdt>
    <w:p w:rsidR="00710839" w:rsidRDefault="00710839"/>
    <w:p w:rsidR="004A492E" w:rsidRDefault="004A492E">
      <w:r>
        <w:t xml:space="preserve">The site is a mixture of commercial and residential properties, with residential properties being directly above the commercial units on the ground floor. </w:t>
      </w:r>
    </w:p>
    <w:p w:rsidR="004A492E" w:rsidRPr="00431BD7" w:rsidRDefault="004A492E"/>
    <w:p w:rsidR="00B07544" w:rsidRDefault="001F3BF0">
      <w:r>
        <w:t xml:space="preserve">People are generally more accepting of noise </w:t>
      </w:r>
      <w:r w:rsidR="00AE0674">
        <w:t xml:space="preserve">after 7am in the </w:t>
      </w:r>
      <w:proofErr w:type="gramStart"/>
      <w:r w:rsidR="00AE0674">
        <w:t>morning,</w:t>
      </w:r>
      <w:proofErr w:type="gramEnd"/>
      <w:r w:rsidR="00D72542">
        <w:t xml:space="preserve"> this has been shown</w:t>
      </w:r>
      <w:r w:rsidR="008447F7">
        <w:t xml:space="preserve"> by experience</w:t>
      </w:r>
      <w:r w:rsidR="00D72542">
        <w:t xml:space="preserve"> in a number of complaints dealt with for similar businesses and noise sources</w:t>
      </w:r>
      <w:r w:rsidR="008447F7">
        <w:t xml:space="preserve">. </w:t>
      </w:r>
      <w:r w:rsidR="00AE0674">
        <w:t>B</w:t>
      </w:r>
      <w:r>
        <w:t xml:space="preserve">ritish standards and </w:t>
      </w:r>
      <w:r w:rsidR="00E42137">
        <w:t xml:space="preserve">other sources </w:t>
      </w:r>
      <w:r>
        <w:t>guidance also use 7am as the cut off between night time and morning</w:t>
      </w:r>
      <w:r w:rsidR="00E42137">
        <w:t>/day time periods</w:t>
      </w:r>
      <w:r>
        <w:t>.</w:t>
      </w:r>
      <w:r w:rsidR="008447F7">
        <w:t xml:space="preserve"> In this instance, residents may currently be impacted by noise from deliveries, however, due to the times of operation will not be inclined to complain. </w:t>
      </w:r>
    </w:p>
    <w:p w:rsidR="00AE0674" w:rsidRDefault="00AE0674"/>
    <w:p w:rsidR="00AE0674" w:rsidRDefault="00AE0674">
      <w:r>
        <w:t>It is accepted that the proposed mitigation measures will go some way to control noise impact</w:t>
      </w:r>
      <w:r w:rsidR="00D72542">
        <w:t xml:space="preserve"> as shown in the acoustic report</w:t>
      </w:r>
      <w:r>
        <w:t xml:space="preserve">. </w:t>
      </w:r>
      <w:r w:rsidR="00D72542">
        <w:t>However, m</w:t>
      </w:r>
      <w:r>
        <w:t xml:space="preserve">any assumptions have been made in terms of attenuation </w:t>
      </w:r>
      <w:r w:rsidR="00D72542">
        <w:t>without validation being sho</w:t>
      </w:r>
      <w:r w:rsidR="008447F7">
        <w:t>wn for these levels</w:t>
      </w:r>
      <w:r w:rsidR="00026844">
        <w:t>.</w:t>
      </w:r>
      <w:r w:rsidR="008447F7">
        <w:t xml:space="preserve"> </w:t>
      </w:r>
      <w:r w:rsidR="00026844">
        <w:t>It is also accepted that there are o</w:t>
      </w:r>
      <w:r w:rsidR="008447F7">
        <w:t>ther max levels in the area</w:t>
      </w:r>
      <w:r w:rsidR="00026844">
        <w:t xml:space="preserve"> above the WHO </w:t>
      </w:r>
      <w:proofErr w:type="gramStart"/>
      <w:r w:rsidR="00026844">
        <w:t>levels</w:t>
      </w:r>
      <w:r w:rsidR="008447F7">
        <w:t>,</w:t>
      </w:r>
      <w:proofErr w:type="gramEnd"/>
      <w:r w:rsidR="008447F7">
        <w:t xml:space="preserve"> </w:t>
      </w:r>
      <w:r w:rsidR="00026844">
        <w:t xml:space="preserve">however, </w:t>
      </w:r>
      <w:r w:rsidR="008447F7">
        <w:t xml:space="preserve">some of </w:t>
      </w:r>
      <w:r w:rsidR="00026844">
        <w:t>these</w:t>
      </w:r>
      <w:r w:rsidR="008447F7">
        <w:t xml:space="preserve"> may be more accept</w:t>
      </w:r>
      <w:r w:rsidR="00026844">
        <w:t>ed</w:t>
      </w:r>
      <w:r w:rsidR="008447F7">
        <w:t xml:space="preserve"> by people and less likely to give ri</w:t>
      </w:r>
      <w:r w:rsidR="00026844">
        <w:t>se to complaints or disturbance due to their tonality, frequency or type</w:t>
      </w:r>
      <w:r w:rsidR="004A492E">
        <w:t>/source</w:t>
      </w:r>
      <w:r w:rsidR="00026844">
        <w:t xml:space="preserve"> of noise.</w:t>
      </w:r>
    </w:p>
    <w:p w:rsidR="008447F7" w:rsidRDefault="008447F7"/>
    <w:p w:rsidR="008447F7" w:rsidRDefault="008447F7" w:rsidP="008447F7">
      <w:r>
        <w:t xml:space="preserve">Even with the installation of trickle ventilation, we are aware of residents who regularly leave patio doors and windows open due to the temperatures that their properties reach, especially during the summer months, </w:t>
      </w:r>
      <w:r w:rsidR="00E42137">
        <w:t>this</w:t>
      </w:r>
      <w:r w:rsidR="00026844">
        <w:t xml:space="preserve"> c</w:t>
      </w:r>
      <w:r>
        <w:t>ould have a large impact on the noise experienced from deliveries.</w:t>
      </w:r>
    </w:p>
    <w:p w:rsidR="00D72542" w:rsidRDefault="00D72542"/>
    <w:p w:rsidR="00AE0674" w:rsidRDefault="00D72542">
      <w:r>
        <w:t>Due to the perceived potential for noise</w:t>
      </w:r>
      <w:r w:rsidR="00E42137">
        <w:t xml:space="preserve"> disturbance</w:t>
      </w:r>
      <w:r>
        <w:t xml:space="preserve"> during the</w:t>
      </w:r>
      <w:r w:rsidR="008447F7">
        <w:t xml:space="preserve"> additional requested hours, it is recommended that a temporary permission is granted allowing the requested hours so that the impact on residential amenity can be more accurately assessed. If complaints are received they will be investigated, however, if no complaints are received this is then a very good indicator that no loss of amenity has occurred due to the extra hours and we would be then happy for full permission to be granted.</w:t>
      </w:r>
      <w:r>
        <w:t xml:space="preserve"> </w:t>
      </w:r>
    </w:p>
    <w:p w:rsidR="00B07544" w:rsidRDefault="00B07544"/>
    <w:p w:rsidR="00A5428A" w:rsidRDefault="00A5428A"/>
    <w:p w:rsidR="00A5428A" w:rsidRDefault="00A5428A"/>
    <w:p w:rsidR="00710839" w:rsidRPr="008447F7" w:rsidRDefault="00710839">
      <w:pPr>
        <w:rPr>
          <w:b/>
          <w:u w:val="single"/>
        </w:rPr>
      </w:pPr>
      <w:r w:rsidRPr="008447F7">
        <w:rPr>
          <w:b/>
          <w:u w:val="single"/>
        </w:rPr>
        <w:lastRenderedPageBreak/>
        <w:t>Conclusion</w:t>
      </w:r>
    </w:p>
    <w:p w:rsidR="00710839" w:rsidRPr="00710839" w:rsidRDefault="00710839"/>
    <w:p w:rsidR="00710839" w:rsidRDefault="00710839">
      <w:r>
        <w:t>Recommend planning application is permitted</w:t>
      </w:r>
      <w:r>
        <w:tab/>
      </w:r>
      <w:r>
        <w:tab/>
      </w:r>
      <w:r>
        <w:tab/>
      </w:r>
      <w:r>
        <w:tab/>
      </w:r>
      <w:r w:rsidR="00AE0674">
        <w:rPr>
          <w:rFonts w:cstheme="minorHAnsi"/>
        </w:rPr>
        <w:t>□</w:t>
      </w:r>
    </w:p>
    <w:p w:rsidR="00710839" w:rsidRDefault="00710839">
      <w:r>
        <w:t>Recommend planning application is permitted but with conditions</w:t>
      </w:r>
      <w:r>
        <w:tab/>
      </w:r>
      <w:r w:rsidR="00AE0674">
        <w:rPr>
          <w:rFonts w:cstheme="minorHAnsi"/>
        </w:rPr>
        <w:t>x</w:t>
      </w:r>
    </w:p>
    <w:p w:rsidR="00710839" w:rsidRDefault="00710839">
      <w:pPr>
        <w:rPr>
          <w:rFonts w:cstheme="minorHAnsi"/>
        </w:rPr>
      </w:pPr>
      <w:r>
        <w:t>Recommend planning application is refused</w:t>
      </w:r>
      <w:r>
        <w:tab/>
      </w:r>
      <w:r>
        <w:tab/>
      </w:r>
      <w:r>
        <w:tab/>
      </w:r>
      <w:r>
        <w:tab/>
      </w:r>
      <w:r>
        <w:rPr>
          <w:rFonts w:cstheme="minorHAnsi"/>
        </w:rPr>
        <w:t>□</w:t>
      </w:r>
      <w:r>
        <w:rPr>
          <w:rFonts w:cstheme="minorHAnsi"/>
        </w:rPr>
        <w:tab/>
      </w:r>
    </w:p>
    <w:p w:rsidR="00B07544" w:rsidRDefault="00B07544">
      <w:pPr>
        <w:rPr>
          <w:rFonts w:cstheme="minorHAnsi"/>
          <w:u w:val="single"/>
        </w:rPr>
      </w:pPr>
    </w:p>
    <w:p w:rsidR="00B4454D" w:rsidRPr="008447F7" w:rsidRDefault="00F21008" w:rsidP="00B4454D">
      <w:pPr>
        <w:rPr>
          <w:rFonts w:cstheme="minorHAnsi"/>
          <w:b/>
          <w:u w:val="single"/>
        </w:rPr>
      </w:pPr>
      <w:r w:rsidRPr="008447F7">
        <w:rPr>
          <w:rFonts w:cstheme="minorHAnsi"/>
          <w:b/>
          <w:u w:val="single"/>
        </w:rPr>
        <w:t>Conditions</w:t>
      </w:r>
      <w:r w:rsidR="00FB063A" w:rsidRPr="008447F7">
        <w:rPr>
          <w:rFonts w:cstheme="minorHAnsi"/>
          <w:b/>
          <w:u w:val="single"/>
        </w:rPr>
        <w:t xml:space="preserve"> and </w:t>
      </w:r>
      <w:proofErr w:type="spellStart"/>
      <w:r w:rsidR="00FB063A" w:rsidRPr="008447F7">
        <w:rPr>
          <w:rFonts w:cstheme="minorHAnsi"/>
          <w:b/>
          <w:u w:val="single"/>
        </w:rPr>
        <w:t>Informatives</w:t>
      </w:r>
      <w:proofErr w:type="spellEnd"/>
    </w:p>
    <w:p w:rsidR="00B20B52" w:rsidRDefault="00B20B52" w:rsidP="00AE0674">
      <w:pPr>
        <w:ind w:left="360" w:hanging="360"/>
        <w:rPr>
          <w:rFonts w:ascii="Arial" w:hAnsi="Arial" w:cs="Arial"/>
          <w:lang w:eastAsia="en-GB"/>
        </w:rPr>
      </w:pPr>
      <w:r w:rsidRPr="00B07544">
        <w:rPr>
          <w:rFonts w:ascii="Arial" w:hAnsi="Arial" w:cs="Arial"/>
          <w:lang w:eastAsia="en-GB"/>
        </w:rPr>
        <w:t xml:space="preserve"> </w:t>
      </w:r>
    </w:p>
    <w:p w:rsidR="00AE0674" w:rsidRPr="00AE0674" w:rsidRDefault="00AE0674" w:rsidP="00AE0674">
      <w:pPr>
        <w:widowControl w:val="0"/>
        <w:tabs>
          <w:tab w:val="left" w:pos="90"/>
        </w:tabs>
        <w:spacing w:before="96"/>
        <w:rPr>
          <w:rFonts w:cs="Arial"/>
          <w:szCs w:val="24"/>
          <w:u w:val="single"/>
        </w:rPr>
      </w:pPr>
      <w:r w:rsidRPr="00AE0674">
        <w:rPr>
          <w:rFonts w:cs="Arial"/>
          <w:szCs w:val="24"/>
          <w:u w:val="single"/>
        </w:rPr>
        <w:t>Temporary permission – variation of hours</w:t>
      </w:r>
    </w:p>
    <w:p w:rsidR="00AE0674" w:rsidRDefault="00AE0674" w:rsidP="00AE0674">
      <w:pPr>
        <w:widowControl w:val="0"/>
        <w:tabs>
          <w:tab w:val="left" w:pos="90"/>
        </w:tabs>
        <w:spacing w:before="96"/>
        <w:rPr>
          <w:rFonts w:cs="Arial"/>
          <w:szCs w:val="24"/>
        </w:rPr>
      </w:pPr>
      <w:r>
        <w:rPr>
          <w:rFonts w:cs="Arial"/>
          <w:szCs w:val="24"/>
        </w:rPr>
        <w:t xml:space="preserve">The variation of </w:t>
      </w:r>
      <w:r w:rsidR="00D72542">
        <w:rPr>
          <w:rFonts w:cs="Arial"/>
          <w:szCs w:val="24"/>
        </w:rPr>
        <w:t xml:space="preserve">delivery </w:t>
      </w:r>
      <w:r>
        <w:rPr>
          <w:rFonts w:cs="Arial"/>
          <w:szCs w:val="24"/>
        </w:rPr>
        <w:t>hours hereby permitted</w:t>
      </w:r>
      <w:r w:rsidR="00D72542">
        <w:rPr>
          <w:rFonts w:cs="Arial"/>
          <w:szCs w:val="24"/>
        </w:rPr>
        <w:t xml:space="preserve"> (0600 to 2300 Monday to Saturday and 0900 to 1900 on Sunday) </w:t>
      </w:r>
      <w:r>
        <w:rPr>
          <w:rFonts w:cs="Arial"/>
          <w:szCs w:val="24"/>
        </w:rPr>
        <w:t xml:space="preserve">shall be discontinued on or before one year from the date of planning permission. </w:t>
      </w:r>
    </w:p>
    <w:p w:rsidR="00AE0674" w:rsidRDefault="00AE0674" w:rsidP="00AE0674">
      <w:pPr>
        <w:widowControl w:val="0"/>
        <w:tabs>
          <w:tab w:val="left" w:pos="90"/>
        </w:tabs>
        <w:spacing w:before="96"/>
        <w:rPr>
          <w:rFonts w:cs="Arial"/>
          <w:szCs w:val="24"/>
        </w:rPr>
      </w:pPr>
      <w:proofErr w:type="gramStart"/>
      <w:r>
        <w:rPr>
          <w:rFonts w:cs="Arial"/>
          <w:szCs w:val="24"/>
        </w:rPr>
        <w:t>Reason.</w:t>
      </w:r>
      <w:proofErr w:type="gramEnd"/>
      <w:r>
        <w:rPr>
          <w:rFonts w:cs="Arial"/>
          <w:szCs w:val="24"/>
        </w:rPr>
        <w:t xml:space="preserve"> </w:t>
      </w:r>
    </w:p>
    <w:p w:rsidR="00AE0674" w:rsidRDefault="00AE0674" w:rsidP="00AE0674">
      <w:pPr>
        <w:widowControl w:val="0"/>
        <w:tabs>
          <w:tab w:val="left" w:pos="90"/>
        </w:tabs>
        <w:spacing w:before="96"/>
        <w:rPr>
          <w:rFonts w:cs="Arial"/>
          <w:szCs w:val="24"/>
        </w:rPr>
      </w:pPr>
      <w:r>
        <w:rPr>
          <w:rFonts w:cs="Arial"/>
          <w:szCs w:val="24"/>
        </w:rPr>
        <w:t xml:space="preserve">It is not considered appropriate to grant a permanent permission for </w:t>
      </w:r>
      <w:r w:rsidR="008447F7">
        <w:rPr>
          <w:rFonts w:cs="Arial"/>
          <w:szCs w:val="24"/>
        </w:rPr>
        <w:t>this variation</w:t>
      </w:r>
      <w:r>
        <w:rPr>
          <w:rFonts w:cs="Arial"/>
          <w:szCs w:val="24"/>
        </w:rPr>
        <w:t xml:space="preserve"> until its effect on the amenities of the locality has been assessed. </w:t>
      </w:r>
    </w:p>
    <w:p w:rsidR="00AE0674" w:rsidRPr="00B4454D" w:rsidRDefault="00AE0674" w:rsidP="00AE0674">
      <w:pPr>
        <w:ind w:left="360" w:hanging="360"/>
        <w:rPr>
          <w:rFonts w:cstheme="minorHAnsi"/>
          <w:u w:val="single"/>
        </w:rPr>
      </w:pPr>
    </w:p>
    <w:sectPr w:rsidR="00AE0674" w:rsidRPr="00B4454D" w:rsidSect="00DB45BA">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7927"/>
    <w:multiLevelType w:val="singleLevel"/>
    <w:tmpl w:val="0409000F"/>
    <w:lvl w:ilvl="0">
      <w:start w:val="1"/>
      <w:numFmt w:val="decimal"/>
      <w:lvlText w:val="%1."/>
      <w:lvlJc w:val="left"/>
      <w:pPr>
        <w:tabs>
          <w:tab w:val="num" w:pos="360"/>
        </w:tabs>
        <w:ind w:left="360" w:hanging="360"/>
      </w:pPr>
    </w:lvl>
  </w:abstractNum>
  <w:abstractNum w:abstractNumId="1">
    <w:nsid w:val="7D933BA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0839"/>
    <w:rsid w:val="00002600"/>
    <w:rsid w:val="00026844"/>
    <w:rsid w:val="000403D9"/>
    <w:rsid w:val="000F3FD2"/>
    <w:rsid w:val="0012010C"/>
    <w:rsid w:val="00131DD0"/>
    <w:rsid w:val="001D344F"/>
    <w:rsid w:val="001E7AC8"/>
    <w:rsid w:val="001F3BF0"/>
    <w:rsid w:val="00203DB0"/>
    <w:rsid w:val="00204BEC"/>
    <w:rsid w:val="00227CA9"/>
    <w:rsid w:val="00235FCC"/>
    <w:rsid w:val="0024589C"/>
    <w:rsid w:val="00275133"/>
    <w:rsid w:val="00280AA6"/>
    <w:rsid w:val="002B068D"/>
    <w:rsid w:val="002F481E"/>
    <w:rsid w:val="003E6260"/>
    <w:rsid w:val="00421EAE"/>
    <w:rsid w:val="00431BD7"/>
    <w:rsid w:val="00472C92"/>
    <w:rsid w:val="004A492E"/>
    <w:rsid w:val="004A4C74"/>
    <w:rsid w:val="004A7690"/>
    <w:rsid w:val="004C181D"/>
    <w:rsid w:val="004D3BFB"/>
    <w:rsid w:val="004E2099"/>
    <w:rsid w:val="005350B9"/>
    <w:rsid w:val="00555E81"/>
    <w:rsid w:val="005D665B"/>
    <w:rsid w:val="00615934"/>
    <w:rsid w:val="006163FB"/>
    <w:rsid w:val="006D4B66"/>
    <w:rsid w:val="006E691B"/>
    <w:rsid w:val="00710839"/>
    <w:rsid w:val="00712D21"/>
    <w:rsid w:val="00713619"/>
    <w:rsid w:val="00812B95"/>
    <w:rsid w:val="0083036E"/>
    <w:rsid w:val="00836DD2"/>
    <w:rsid w:val="008447F7"/>
    <w:rsid w:val="008A620F"/>
    <w:rsid w:val="008B2C87"/>
    <w:rsid w:val="0095606B"/>
    <w:rsid w:val="009B6717"/>
    <w:rsid w:val="009D7E83"/>
    <w:rsid w:val="009F4BEF"/>
    <w:rsid w:val="00A40074"/>
    <w:rsid w:val="00A530AE"/>
    <w:rsid w:val="00A5428A"/>
    <w:rsid w:val="00AA0BBA"/>
    <w:rsid w:val="00AD4985"/>
    <w:rsid w:val="00AE0674"/>
    <w:rsid w:val="00AF13B8"/>
    <w:rsid w:val="00B07544"/>
    <w:rsid w:val="00B20B52"/>
    <w:rsid w:val="00B4454D"/>
    <w:rsid w:val="00BD1138"/>
    <w:rsid w:val="00BF22B2"/>
    <w:rsid w:val="00C24A2F"/>
    <w:rsid w:val="00C65CEB"/>
    <w:rsid w:val="00C701F4"/>
    <w:rsid w:val="00CA0C08"/>
    <w:rsid w:val="00CA716E"/>
    <w:rsid w:val="00CB0831"/>
    <w:rsid w:val="00CC0CD3"/>
    <w:rsid w:val="00CE3807"/>
    <w:rsid w:val="00CF30AE"/>
    <w:rsid w:val="00D01245"/>
    <w:rsid w:val="00D573B2"/>
    <w:rsid w:val="00D72542"/>
    <w:rsid w:val="00D75AA2"/>
    <w:rsid w:val="00D84FE7"/>
    <w:rsid w:val="00DB45BA"/>
    <w:rsid w:val="00DC6BBD"/>
    <w:rsid w:val="00DD4FE4"/>
    <w:rsid w:val="00DE6F0E"/>
    <w:rsid w:val="00E10D71"/>
    <w:rsid w:val="00E42137"/>
    <w:rsid w:val="00E532BF"/>
    <w:rsid w:val="00E652C4"/>
    <w:rsid w:val="00EE7194"/>
    <w:rsid w:val="00EF0377"/>
    <w:rsid w:val="00F21008"/>
    <w:rsid w:val="00F427BB"/>
    <w:rsid w:val="00F65B38"/>
    <w:rsid w:val="00FB063A"/>
    <w:rsid w:val="00FB6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FB"/>
  </w:style>
  <w:style w:type="paragraph" w:styleId="Heading1">
    <w:name w:val="heading 1"/>
    <w:basedOn w:val="Normal"/>
    <w:next w:val="Normal"/>
    <w:link w:val="Heading1Char"/>
    <w:uiPriority w:val="9"/>
    <w:qFormat/>
    <w:rsid w:val="004D3BF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D3BF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3BF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D3BF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D3BF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D3BF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D3BF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D3BF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D3BF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B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D3BFB"/>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4D3BFB"/>
  </w:style>
  <w:style w:type="character" w:customStyle="1" w:styleId="Heading3Char">
    <w:name w:val="Heading 3 Char"/>
    <w:basedOn w:val="DefaultParagraphFont"/>
    <w:link w:val="Heading3"/>
    <w:uiPriority w:val="9"/>
    <w:rsid w:val="004D3B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D3B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D3B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D3B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D3B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D3B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D3BF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F0377"/>
    <w:rPr>
      <w:b/>
      <w:bCs/>
      <w:sz w:val="18"/>
      <w:szCs w:val="18"/>
    </w:rPr>
  </w:style>
  <w:style w:type="paragraph" w:styleId="Title">
    <w:name w:val="Title"/>
    <w:basedOn w:val="Normal"/>
    <w:next w:val="Normal"/>
    <w:link w:val="TitleChar"/>
    <w:uiPriority w:val="10"/>
    <w:qFormat/>
    <w:rsid w:val="004D3BF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3B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D3BF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D3BFB"/>
    <w:rPr>
      <w:rFonts w:asciiTheme="majorHAnsi" w:eastAsiaTheme="majorEastAsia" w:hAnsiTheme="majorHAnsi" w:cstheme="majorBidi"/>
      <w:i/>
      <w:iCs/>
      <w:spacing w:val="13"/>
      <w:sz w:val="24"/>
      <w:szCs w:val="24"/>
    </w:rPr>
  </w:style>
  <w:style w:type="character" w:styleId="Strong">
    <w:name w:val="Strong"/>
    <w:uiPriority w:val="22"/>
    <w:qFormat/>
    <w:rsid w:val="004D3BFB"/>
    <w:rPr>
      <w:b/>
      <w:bCs/>
    </w:rPr>
  </w:style>
  <w:style w:type="character" w:styleId="Emphasis">
    <w:name w:val="Emphasis"/>
    <w:uiPriority w:val="20"/>
    <w:qFormat/>
    <w:rsid w:val="004D3BFB"/>
    <w:rPr>
      <w:b/>
      <w:bCs/>
      <w:i/>
      <w:iCs/>
      <w:spacing w:val="10"/>
      <w:bdr w:val="none" w:sz="0" w:space="0" w:color="auto"/>
      <w:shd w:val="clear" w:color="auto" w:fill="auto"/>
    </w:rPr>
  </w:style>
  <w:style w:type="paragraph" w:styleId="ListParagraph">
    <w:name w:val="List Paragraph"/>
    <w:basedOn w:val="Normal"/>
    <w:uiPriority w:val="34"/>
    <w:qFormat/>
    <w:rsid w:val="004D3BFB"/>
    <w:pPr>
      <w:ind w:left="720"/>
      <w:contextualSpacing/>
    </w:pPr>
  </w:style>
  <w:style w:type="paragraph" w:styleId="Quote">
    <w:name w:val="Quote"/>
    <w:basedOn w:val="Normal"/>
    <w:next w:val="Normal"/>
    <w:link w:val="QuoteChar"/>
    <w:uiPriority w:val="29"/>
    <w:qFormat/>
    <w:rsid w:val="004D3BFB"/>
    <w:pPr>
      <w:spacing w:before="200"/>
      <w:ind w:left="360" w:right="360"/>
    </w:pPr>
    <w:rPr>
      <w:i/>
      <w:iCs/>
    </w:rPr>
  </w:style>
  <w:style w:type="character" w:customStyle="1" w:styleId="QuoteChar">
    <w:name w:val="Quote Char"/>
    <w:basedOn w:val="DefaultParagraphFont"/>
    <w:link w:val="Quote"/>
    <w:uiPriority w:val="29"/>
    <w:rsid w:val="004D3BFB"/>
    <w:rPr>
      <w:i/>
      <w:iCs/>
    </w:rPr>
  </w:style>
  <w:style w:type="paragraph" w:styleId="IntenseQuote">
    <w:name w:val="Intense Quote"/>
    <w:basedOn w:val="Normal"/>
    <w:next w:val="Normal"/>
    <w:link w:val="IntenseQuoteChar"/>
    <w:uiPriority w:val="30"/>
    <w:qFormat/>
    <w:rsid w:val="004D3B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3BFB"/>
    <w:rPr>
      <w:b/>
      <w:bCs/>
      <w:i/>
      <w:iCs/>
    </w:rPr>
  </w:style>
  <w:style w:type="character" w:styleId="SubtleEmphasis">
    <w:name w:val="Subtle Emphasis"/>
    <w:uiPriority w:val="19"/>
    <w:qFormat/>
    <w:rsid w:val="004D3BFB"/>
    <w:rPr>
      <w:i/>
      <w:iCs/>
    </w:rPr>
  </w:style>
  <w:style w:type="character" w:styleId="IntenseEmphasis">
    <w:name w:val="Intense Emphasis"/>
    <w:uiPriority w:val="21"/>
    <w:qFormat/>
    <w:rsid w:val="004D3BFB"/>
    <w:rPr>
      <w:b/>
      <w:bCs/>
    </w:rPr>
  </w:style>
  <w:style w:type="character" w:styleId="SubtleReference">
    <w:name w:val="Subtle Reference"/>
    <w:uiPriority w:val="31"/>
    <w:qFormat/>
    <w:rsid w:val="004D3BFB"/>
    <w:rPr>
      <w:smallCaps/>
    </w:rPr>
  </w:style>
  <w:style w:type="character" w:styleId="IntenseReference">
    <w:name w:val="Intense Reference"/>
    <w:uiPriority w:val="32"/>
    <w:qFormat/>
    <w:rsid w:val="004D3BFB"/>
    <w:rPr>
      <w:smallCaps/>
      <w:spacing w:val="5"/>
      <w:u w:val="single"/>
    </w:rPr>
  </w:style>
  <w:style w:type="character" w:styleId="BookTitle">
    <w:name w:val="Book Title"/>
    <w:uiPriority w:val="33"/>
    <w:qFormat/>
    <w:rsid w:val="004D3BFB"/>
    <w:rPr>
      <w:i/>
      <w:iCs/>
      <w:smallCaps/>
      <w:spacing w:val="5"/>
    </w:rPr>
  </w:style>
  <w:style w:type="paragraph" w:styleId="TOCHeading">
    <w:name w:val="TOC Heading"/>
    <w:basedOn w:val="Heading1"/>
    <w:next w:val="Normal"/>
    <w:uiPriority w:val="39"/>
    <w:semiHidden/>
    <w:unhideWhenUsed/>
    <w:qFormat/>
    <w:rsid w:val="004D3BFB"/>
    <w:pPr>
      <w:outlineLvl w:val="9"/>
    </w:pPr>
  </w:style>
  <w:style w:type="character" w:customStyle="1" w:styleId="NoSpacingChar">
    <w:name w:val="No Spacing Char"/>
    <w:basedOn w:val="DefaultParagraphFont"/>
    <w:link w:val="NoSpacing"/>
    <w:uiPriority w:val="1"/>
    <w:rsid w:val="004D3BFB"/>
  </w:style>
  <w:style w:type="paragraph" w:styleId="BalloonText">
    <w:name w:val="Balloon Text"/>
    <w:basedOn w:val="Normal"/>
    <w:link w:val="BalloonTextChar"/>
    <w:uiPriority w:val="99"/>
    <w:semiHidden/>
    <w:unhideWhenUsed/>
    <w:rsid w:val="00DB45BA"/>
    <w:rPr>
      <w:rFonts w:ascii="Tahoma" w:hAnsi="Tahoma" w:cs="Tahoma"/>
      <w:sz w:val="16"/>
      <w:szCs w:val="16"/>
    </w:rPr>
  </w:style>
  <w:style w:type="character" w:customStyle="1" w:styleId="BalloonTextChar">
    <w:name w:val="Balloon Text Char"/>
    <w:basedOn w:val="DefaultParagraphFont"/>
    <w:link w:val="BalloonText"/>
    <w:uiPriority w:val="99"/>
    <w:semiHidden/>
    <w:rsid w:val="00DB45BA"/>
    <w:rPr>
      <w:rFonts w:ascii="Tahoma" w:hAnsi="Tahoma" w:cs="Tahoma"/>
      <w:sz w:val="16"/>
      <w:szCs w:val="16"/>
    </w:rPr>
  </w:style>
  <w:style w:type="table" w:styleId="TableGrid">
    <w:name w:val="Table Grid"/>
    <w:basedOn w:val="TableNormal"/>
    <w:uiPriority w:val="59"/>
    <w:rsid w:val="00710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H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E347C-4979-4A36-A21D-26E239F5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Welwyn Hafield Borough Council</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env_kr</dc:creator>
  <cp:lastModifiedBy>env_kr</cp:lastModifiedBy>
  <cp:revision>9</cp:revision>
  <cp:lastPrinted>2015-10-16T12:47:00Z</cp:lastPrinted>
  <dcterms:created xsi:type="dcterms:W3CDTF">2015-10-16T09:39:00Z</dcterms:created>
  <dcterms:modified xsi:type="dcterms:W3CDTF">2015-10-16T13:13:00Z</dcterms:modified>
</cp:coreProperties>
</file>